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81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C35EF4" w:rsidRPr="00576E59" w:rsidTr="004B0C3A">
        <w:trPr>
          <w:trHeight w:val="2696"/>
        </w:trPr>
        <w:tc>
          <w:tcPr>
            <w:tcW w:w="47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EF4" w:rsidRPr="00576E59" w:rsidRDefault="00C35EF4" w:rsidP="00C35EF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C35EF4" w:rsidRPr="00576E59" w:rsidRDefault="00C35EF4" w:rsidP="00C35EF4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C35EF4" w:rsidRPr="00576E59" w:rsidRDefault="00C35EF4" w:rsidP="00C35EF4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576E59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C35EF4" w:rsidRPr="00576E59" w:rsidRDefault="00C35EF4" w:rsidP="00C35EF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576E59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C35EF4" w:rsidRPr="00576E59" w:rsidRDefault="00C35EF4" w:rsidP="00C35EF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C35EF4" w:rsidRPr="00576E59" w:rsidRDefault="00C35EF4" w:rsidP="00C35EF4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576E59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576E59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C35EF4" w:rsidRPr="00576E59" w:rsidRDefault="00C35EF4" w:rsidP="00C35EF4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576E59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576E59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576E59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EF4" w:rsidRPr="00576E59" w:rsidRDefault="00C35EF4" w:rsidP="00C35EF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35EF4" w:rsidRPr="00576E59" w:rsidRDefault="00C35EF4" w:rsidP="00C35EF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35EF4" w:rsidRPr="00576E59" w:rsidRDefault="00C35EF4" w:rsidP="00C35EF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C35EF4" w:rsidRPr="00576E59" w:rsidRDefault="00C35EF4" w:rsidP="00C35EF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4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EF4" w:rsidRPr="00576E59" w:rsidRDefault="00C35EF4" w:rsidP="00C35EF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576E59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C35EF4" w:rsidRPr="00576E59" w:rsidRDefault="00C35EF4" w:rsidP="00C35EF4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C35EF4" w:rsidRPr="00576E59" w:rsidRDefault="00C35EF4" w:rsidP="00C35EF4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C35EF4" w:rsidRPr="00576E59" w:rsidRDefault="00C35EF4" w:rsidP="00C35EF4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576E5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C35EF4" w:rsidRPr="001E0F47" w:rsidRDefault="00C35EF4" w:rsidP="00C35E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E59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БОЙОРОК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РАСПОРЯЖЕНИЕ</w:t>
      </w:r>
    </w:p>
    <w:p w:rsidR="00C35EF4" w:rsidRPr="001E0F47" w:rsidRDefault="00C35EF4" w:rsidP="00C35EF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5EF4" w:rsidRPr="001E0F47" w:rsidRDefault="00C35EF4" w:rsidP="00C35EF4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июль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proofErr w:type="spellStart"/>
      <w:r w:rsidRPr="001E0F47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11 июля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2019 г</w:t>
      </w:r>
    </w:p>
    <w:p w:rsidR="00DC3D54" w:rsidRPr="00DC3D54" w:rsidRDefault="00DC3D54" w:rsidP="00DC3D54">
      <w:pPr>
        <w:tabs>
          <w:tab w:val="left" w:pos="320"/>
          <w:tab w:val="left" w:pos="4320"/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3D54" w:rsidRPr="00DC3D54" w:rsidRDefault="00C35EF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О</w:t>
      </w:r>
      <w:r w:rsidR="00DC3D54" w:rsidRPr="00DC3D54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учетную политику для целей бухгалтерского учета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41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3"/>
      </w:tblGrid>
      <w:tr w:rsidR="00C35EF4" w:rsidRPr="00DC3D54" w:rsidTr="00C35EF4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35EF4" w:rsidRPr="00DC3D54" w:rsidRDefault="00C35EF4" w:rsidP="00C35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r w:rsidRPr="00DC3D54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с.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Нижние Ташлы</w:t>
            </w:r>
          </w:p>
        </w:tc>
      </w:tr>
    </w:tbl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D54" w:rsidRPr="00DC3D54" w:rsidRDefault="00C35EF4" w:rsidP="00DC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DC3D54" w:rsidRPr="00DC3D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приведения в соответствие с действующим приказом </w:t>
      </w:r>
      <w:r w:rsidR="00DC3D54" w:rsidRPr="00DC3D54">
        <w:rPr>
          <w:rFonts w:ascii="Times New Roman" w:eastAsia="Times New Roman" w:hAnsi="Times New Roman" w:cs="Times New Roman"/>
          <w:bCs/>
          <w:sz w:val="28"/>
          <w:szCs w:val="28"/>
        </w:rPr>
        <w:t>Минфина от 01.12.2010 № 157н «</w:t>
      </w:r>
      <w:r w:rsidR="00DC3D54" w:rsidRPr="00DC3D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:rsidR="00DC3D54" w:rsidRPr="00DC3D54" w:rsidRDefault="00DC3D54" w:rsidP="00DC3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ПРИКАЗЫВАЮ:</w:t>
      </w:r>
    </w:p>
    <w:p w:rsidR="00DC3D54" w:rsidRPr="004B0C3A" w:rsidRDefault="00DC3D54" w:rsidP="004924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Внести изменения в учетную политику, утвержденную приказом от</w:t>
      </w:r>
      <w:r w:rsidR="00C35EF4"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29 декабря 2019 года </w:t>
      </w: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№</w:t>
      </w:r>
      <w:r w:rsidR="00C35EF4"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90</w:t>
      </w:r>
      <w:r w:rsidRPr="004B0C3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согласно приложения № 1 данному распоряжению.</w:t>
      </w:r>
    </w:p>
    <w:p w:rsidR="00DC3D54" w:rsidRPr="004B0C3A" w:rsidRDefault="00DC3D54" w:rsidP="004924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0C3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B0C3A">
        <w:rPr>
          <w:rFonts w:ascii="Times New Roman" w:eastAsia="Times New Roman" w:hAnsi="Times New Roman" w:cs="Times New Roman"/>
          <w:bCs/>
          <w:sz w:val="28"/>
          <w:szCs w:val="28"/>
        </w:rPr>
        <w:t>Изменения действуют с 01 января 2019 года.</w:t>
      </w:r>
    </w:p>
    <w:p w:rsidR="00DC3D54" w:rsidRPr="00DC3D54" w:rsidRDefault="00DC3D54" w:rsidP="004924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приказа возложить на </w:t>
      </w:r>
      <w:r w:rsidRPr="00DC3D54">
        <w:rPr>
          <w:rFonts w:ascii="Times New Roman" w:eastAsia="Times New Roman" w:hAnsi="Times New Roman" w:cs="Times New Roman"/>
          <w:iCs/>
          <w:sz w:val="28"/>
        </w:rPr>
        <w:t>начальника централизованной бухгалтерии</w:t>
      </w:r>
      <w:r w:rsidRPr="00DC3D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1525"/>
        <w:gridCol w:w="2339"/>
      </w:tblGrid>
      <w:tr w:rsidR="00DC3D54" w:rsidRPr="00DC3D54" w:rsidTr="00C35EF4">
        <w:tc>
          <w:tcPr>
            <w:tcW w:w="459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54"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Глава сельского поселения</w:t>
            </w:r>
          </w:p>
        </w:tc>
        <w:tc>
          <w:tcPr>
            <w:tcW w:w="152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D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C3D54" w:rsidRPr="00DC3D54" w:rsidRDefault="00C35EF4" w:rsidP="00DC3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</w:rPr>
              <w:t>Г.С.Гарифуллина</w:t>
            </w:r>
            <w:proofErr w:type="spellEnd"/>
          </w:p>
        </w:tc>
      </w:tr>
    </w:tbl>
    <w:bookmarkEnd w:id="0"/>
    <w:bookmarkEnd w:id="1"/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5EF4" w:rsidRDefault="00C35EF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5EF4" w:rsidRDefault="00C35EF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5EF4" w:rsidRPr="00DC3D54" w:rsidRDefault="00C35EF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</w:t>
      </w:r>
    </w:p>
    <w:p w:rsidR="00C35EF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 xml:space="preserve">к распоряжению </w:t>
      </w:r>
    </w:p>
    <w:p w:rsidR="00DC3D54" w:rsidRPr="00DC3D54" w:rsidRDefault="00DC3D54" w:rsidP="00DC3D54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C35EF4">
        <w:rPr>
          <w:rFonts w:ascii="Times New Roman" w:eastAsia="Times New Roman" w:hAnsi="Times New Roman" w:cs="Times New Roman"/>
          <w:sz w:val="20"/>
          <w:szCs w:val="20"/>
        </w:rPr>
        <w:t xml:space="preserve">90 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C35EF4">
        <w:rPr>
          <w:rFonts w:ascii="Times New Roman" w:eastAsia="Times New Roman" w:hAnsi="Times New Roman" w:cs="Times New Roman"/>
          <w:sz w:val="20"/>
          <w:szCs w:val="20"/>
        </w:rPr>
        <w:t xml:space="preserve"> 29 декабря 2018 года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3D5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Рабочий план счетов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9393" w:type="dxa"/>
        <w:tblInd w:w="-45" w:type="dxa"/>
        <w:tblLook w:val="04A0"/>
      </w:tblPr>
      <w:tblGrid>
        <w:gridCol w:w="1761"/>
        <w:gridCol w:w="586"/>
        <w:gridCol w:w="899"/>
        <w:gridCol w:w="814"/>
        <w:gridCol w:w="552"/>
        <w:gridCol w:w="1530"/>
        <w:gridCol w:w="3251"/>
      </w:tblGrid>
      <w:tr w:rsidR="00DC3D54" w:rsidRPr="00DC3D54" w:rsidTr="00C35EF4">
        <w:tc>
          <w:tcPr>
            <w:tcW w:w="17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КБК</w:t>
            </w:r>
            <w:r w:rsidRPr="00DC3D54">
              <w:rPr>
                <w:rFonts w:ascii="Times New Roman" w:eastAsia="Times New Roman" w:hAnsi="Times New Roman" w:cs="Times New Roman"/>
                <w:color w:val="99CCFF"/>
                <w:sz w:val="23"/>
                <w:szCs w:val="23"/>
                <w:vertAlign w:val="superscript"/>
              </w:rPr>
              <w:t>1</w:t>
            </w:r>
          </w:p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КФО</w:t>
            </w:r>
            <w:r w:rsidRPr="00DC3D54">
              <w:rPr>
                <w:rFonts w:ascii="Times New Roman" w:eastAsia="Times New Roman" w:hAnsi="Times New Roman" w:cs="Times New Roman"/>
                <w:color w:val="99CCFF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265" w:type="dxa"/>
            <w:gridSpan w:val="3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 xml:space="preserve">Аналитический код </w:t>
            </w:r>
            <w:r w:rsidRPr="00DC3D54">
              <w:rPr>
                <w:rFonts w:ascii="Times New Roman" w:eastAsia="Times New Roman" w:hAnsi="Times New Roman" w:cs="Times New Roman"/>
              </w:rPr>
              <w:br/>
              <w:t>по КОСГУ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Наименование счета</w:t>
            </w:r>
          </w:p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C3D54" w:rsidRPr="00DC3D54" w:rsidTr="00C35E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 xml:space="preserve">объекта </w:t>
            </w:r>
            <w:r w:rsidRPr="00DC3D54">
              <w:rPr>
                <w:rFonts w:ascii="Times New Roman" w:eastAsia="Times New Roman" w:hAnsi="Times New Roman" w:cs="Times New Roman"/>
              </w:rPr>
              <w:br/>
              <w:t>учета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группы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3D54" w:rsidRPr="00DC3D54" w:rsidTr="00C35EF4">
        <w:tc>
          <w:tcPr>
            <w:tcW w:w="6142" w:type="dxa"/>
            <w:gridSpan w:val="6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3D54" w:rsidRPr="00DC3D54" w:rsidTr="00C35EF4">
        <w:tc>
          <w:tcPr>
            <w:tcW w:w="1761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(1–17)</w:t>
            </w:r>
          </w:p>
        </w:tc>
        <w:tc>
          <w:tcPr>
            <w:tcW w:w="586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(18)</w:t>
            </w:r>
          </w:p>
        </w:tc>
        <w:tc>
          <w:tcPr>
            <w:tcW w:w="899" w:type="dxa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(19–21)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(22)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(23)</w:t>
            </w:r>
          </w:p>
        </w:tc>
        <w:tc>
          <w:tcPr>
            <w:tcW w:w="0" w:type="auto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b/>
                <w:bCs/>
              </w:rPr>
              <w:t>(24–26)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single" w:sz="8" w:space="0" w:color="000000"/>
            </w:tcBorders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средства – иное движимое имущество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36056920"/>
            <w:bookmarkStart w:id="3" w:name="_Hlk53605716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</w:t>
            </w:r>
            <w:bookmarkStart w:id="4" w:name="OLE_LINK16"/>
            <w:bookmarkStart w:id="5" w:name="OLE_LINK17"/>
            <w:bookmarkStart w:id="6" w:name="OLE_LINK1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жилых помещений – недвижимого имущества учреждения</w:t>
            </w:r>
            <w:bookmarkEnd w:id="4"/>
            <w:bookmarkEnd w:id="5"/>
            <w:bookmarkEnd w:id="6"/>
          </w:p>
        </w:tc>
      </w:tr>
      <w:bookmarkEnd w:id="2"/>
      <w:bookmarkEnd w:id="3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жилых помещений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нежилых помещений(зданий 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соороужений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)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нежилых помещений(зданий 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соороужений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)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инвестиционной недвижимости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инвестиционной недвижимости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транспортных средств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транспортных средств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нежилых помещений(зданий и сооружений) – иного 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нежилых помещений(зданий и сооружений) –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иного 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инвестиционной недвижимости – иного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инвестиционной недвижимости – иного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OLE_LINK13"/>
            <w:bookmarkStart w:id="8" w:name="OLE_LINK14"/>
            <w:bookmarkStart w:id="9" w:name="OLE_LINK1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bookmarkEnd w:id="7"/>
            <w:bookmarkEnd w:id="8"/>
            <w:bookmarkEnd w:id="9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 и оборудования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машин и оборудования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транспортных средств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транспортных средств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инвентаря производственного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 хозяйственного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инвентаря производственного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 хозяйственного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биологических ресурсов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биологических ресурсов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основных средств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прочих основных средств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нематериальных активов  особо ценного 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нематериальных активов  особо ценного 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нематериальных активов  иного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нематериальных активов  иного 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Непроизведенные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активы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53605724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земли-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bookmarkEnd w:id="10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земли-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ресурсов недр-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 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ресурсов недр-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ресурсов недр-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  иного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стоимости ресурсов недр-иного</w:t>
            </w:r>
            <w:r w:rsidRPr="00DC3D5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 xml:space="preserve">иного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стоимости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непроизведенных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активов -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 xml:space="preserve">иного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Земля в составе имущества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концедента</w:t>
            </w:r>
            <w:proofErr w:type="spellEnd"/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жилых помещений-</w:t>
            </w:r>
            <w:r w:rsidRPr="00DC3D5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bCs/>
                <w:iCs/>
              </w:rPr>
              <w:t>не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за счет нежилых помещений(зданий и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соороужений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)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инвестиционной недвижимости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стоимости транспортных средств –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нежилых помещений(зданий и сооружений) – иного 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инвестиционной недвижимости – иного недвижимого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машин и оборудования – иного движимого имущества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транспортных средств – иного 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инвентаря производственного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 хозяйственного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биологических ресурсов 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за счет амортизации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стоимости прочих основных средств – иного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 учреждения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вложений в основные средства –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иное движимое имущество учреждения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вложений в основные средства</w:t>
            </w:r>
            <w:r w:rsidRPr="00DC3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– иное движимое имущество учреждения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авансов по коммунальным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авансов по коммунальным услугам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_Hlk53509443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прочим выплатам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прочим выплатам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работам и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работам и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поступлениям нефинансовых активов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_Hlk53509451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 по поступлениям нефинансовых активов</w:t>
            </w:r>
          </w:p>
        </w:tc>
      </w:tr>
      <w:bookmarkEnd w:id="12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OLE_LINK68"/>
            <w:bookmarkStart w:id="14" w:name="OLE_LINK69"/>
            <w:bookmarkStart w:id="15" w:name="OLE_LINK70"/>
            <w:bookmarkStart w:id="16" w:name="OLE_LINK71"/>
            <w:bookmarkStart w:id="17" w:name="OLE_LINK72"/>
            <w:bookmarkStart w:id="18" w:name="OLE_LINK73"/>
            <w:bookmarkStart w:id="19" w:name="OLE_LINK74"/>
            <w:bookmarkStart w:id="20" w:name="OLE_LINK7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дебиторской задолженности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прочим расходам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 по прочим расходам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_Hlk53509451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_Hlk535094513"/>
            <w:bookmarkEnd w:id="11"/>
            <w:bookmarkEnd w:id="2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3" w:name="OLE_LINK10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 доходов от компенсации затрат</w:t>
            </w:r>
            <w:bookmarkEnd w:id="23"/>
          </w:p>
        </w:tc>
      </w:tr>
      <w:bookmarkEnd w:id="22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4" w:name="OLE_LINK105"/>
            <w:bookmarkStart w:id="25" w:name="OLE_LINK106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</w:t>
            </w:r>
            <w:bookmarkEnd w:id="24"/>
            <w:bookmarkEnd w:id="2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прочей дебиторской задолженности по расчетам  доходов от компенсации затрат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6" w:name="_Hlk53509451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7" w:name="OLE_LINK103"/>
            <w:bookmarkStart w:id="28" w:name="OLE_LINK10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бюджета от возврата дебиторской задолженности прошлых лет</w:t>
            </w:r>
            <w:bookmarkEnd w:id="27"/>
            <w:bookmarkEnd w:id="28"/>
          </w:p>
        </w:tc>
      </w:tr>
      <w:bookmarkEnd w:id="26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бюджета от возврата дебиторской задолженности прошлых лет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9" w:name="_Hlk53509451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0" w:name="OLE_LINK107"/>
            <w:bookmarkStart w:id="31" w:name="OLE_LINK10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штрафных санкций за нарушение условий контрактов (договоров)</w:t>
            </w:r>
            <w:bookmarkEnd w:id="30"/>
            <w:bookmarkEnd w:id="31"/>
          </w:p>
        </w:tc>
      </w:tr>
      <w:bookmarkEnd w:id="29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от штрафных санкций за нарушение условий контрактов (договоров)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2" w:name="_Hlk535094516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3" w:name="OLE_LINK109"/>
            <w:bookmarkStart w:id="34" w:name="OLE_LINK110"/>
            <w:bookmarkStart w:id="35" w:name="OLE_LINK11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страховых возмещени</w:t>
            </w:r>
            <w:bookmarkEnd w:id="33"/>
            <w:bookmarkEnd w:id="34"/>
            <w:bookmarkEnd w:id="3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bookmarkEnd w:id="32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дебиторской задолженности по расчетам доходов от страховых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</w:t>
            </w:r>
            <w:proofErr w:type="spellEnd"/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6" w:name="_Hlk53509451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7" w:name="OLE_LINK112"/>
            <w:bookmarkStart w:id="38" w:name="OLE_LINK113"/>
            <w:bookmarkStart w:id="39" w:name="OLE_LINK11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доходов от возмещения ущерба имуществу (за исключением страховых возмещений)</w:t>
            </w:r>
            <w:bookmarkEnd w:id="37"/>
            <w:bookmarkEnd w:id="38"/>
            <w:bookmarkEnd w:id="39"/>
          </w:p>
        </w:tc>
      </w:tr>
      <w:bookmarkEnd w:id="36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от возмещения ущерба имуществу (за исключением страховых возмещений)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0" w:name="_Hlk53509451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1" w:name="OLE_LINK115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дебиторской задолженности по расчетам доходов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прочих сумм принудительного изъятия</w:t>
            </w:r>
            <w:bookmarkEnd w:id="41"/>
          </w:p>
        </w:tc>
      </w:tr>
      <w:bookmarkEnd w:id="40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доходов от прочих сумм принудительного изъятия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2" w:name="_Hlk535094519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3" w:name="OLE_LINK116"/>
            <w:bookmarkStart w:id="44" w:name="OLE_LINK11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па расчетам  ущерба основным средства</w:t>
            </w:r>
            <w:bookmarkEnd w:id="43"/>
            <w:bookmarkEnd w:id="4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bookmarkEnd w:id="42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па расчетам  ущерба основным средства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5" w:name="_Hlk535094520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6" w:name="OLE_LINK118"/>
            <w:bookmarkStart w:id="47" w:name="OLE_LINK119"/>
            <w:bookmarkStart w:id="48" w:name="OLE_LINK120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ущерба  по нематериальным актива</w:t>
            </w:r>
            <w:bookmarkEnd w:id="46"/>
            <w:bookmarkEnd w:id="47"/>
            <w:bookmarkEnd w:id="4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bookmarkEnd w:id="45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ущерба  по нематериальным актива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9" w:name="OLE_LINK12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дебиторской задолженности по расчетам ущерба по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непроизведенным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</w:t>
            </w:r>
            <w:bookmarkEnd w:id="49"/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дебиторской задолженности по расчетам ущерба по </w:t>
            </w:r>
            <w:proofErr w:type="spellStart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непроизведенным</w:t>
            </w:r>
            <w:proofErr w:type="spellEnd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0" w:name="_Hlk535094521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1" w:name="OLE_LINK122"/>
            <w:bookmarkStart w:id="52" w:name="OLE_LINK123"/>
            <w:bookmarkStart w:id="53" w:name="OLE_LINK12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расчеты по ущербу материальных запасов</w:t>
            </w:r>
            <w:bookmarkEnd w:id="51"/>
            <w:bookmarkEnd w:id="52"/>
            <w:bookmarkEnd w:id="53"/>
          </w:p>
        </w:tc>
      </w:tr>
      <w:bookmarkEnd w:id="50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расчеты по ущербу материальных запасов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4" w:name="_Hlk535094522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5" w:name="OLE_LINK125"/>
            <w:bookmarkStart w:id="56" w:name="OLE_LINK126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недостач денежных средств</w:t>
            </w:r>
            <w:bookmarkEnd w:id="55"/>
            <w:bookmarkEnd w:id="56"/>
          </w:p>
        </w:tc>
      </w:tr>
      <w:bookmarkEnd w:id="54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недостач денежных средств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7" w:name="_Hlk535094523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8" w:name="OLE_LINK127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недостач иных финансовых активов</w:t>
            </w:r>
            <w:bookmarkEnd w:id="58"/>
          </w:p>
        </w:tc>
      </w:tr>
      <w:bookmarkEnd w:id="57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недостач иных финансовых активов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9" w:name="_Hlk535094524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0" w:name="OLE_LINK128"/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дебиторской задолженности по расчетам иных доходов</w:t>
            </w:r>
            <w:bookmarkEnd w:id="60"/>
          </w:p>
        </w:tc>
      </w:tr>
      <w:bookmarkEnd w:id="59"/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дебиторской задолженности по расчетам иных доходов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заработной плате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задолженности по заработной плате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прочим выплатам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прочим выплатам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начислениям на выплаты по оплате труда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начислениям на выплаты по оплате труда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услугам связи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услугам связи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транспортным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транспортным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коммунальным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коммунальным услугам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арендной плате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арендной плате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работам и услугам по содержанию имущества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работам и услугам по содержанию имущества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кредиторской задолженности по прочим работам и услугам 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задолженности по прочим работам и услугам 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приобретению основных средств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приобретению основных средств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кредиторской задолженности по приобретению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нематериальных активов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приобретению нематериальных активов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приобретению материальных запасов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приобретению материальных запасов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перечислению другим бюджетам бюджетной системы РФ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перечислению другим бюджетам бюджетной системы РФ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прочим расходам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прочим расходам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Расчеты по платежам в бюджет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НДФЛ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НДФЛ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налогу на прибыль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налогу на прибыль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НДС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НДС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платежам в бюджет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прочей кредиторской задолженности по платежам в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обязательное  страхование от несчастных случаев на производстве и профзаболеваний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обязательное  страхование от несчастных случаев на производстве и профзаболеваний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ФФОМС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ФФОМС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страховым взносам на выплаты страховой части ПФР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страховым взносам на выплаты страховой части ПФР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налогу на имущество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налогу на имущество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расчеты с кредиторами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удержаниям из заработной платы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удержаниям из заработной платы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по внутриведомственном расчетам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по внутриведомственным расчетам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прочей кредиторской задолженности  расчетов по платежам из бюджета с финансовым органом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расчетов по платежам из бюджета с финансовым органом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прочей кредиторской </w:t>
            </w: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задолженности  расчетов с прочими кредиторами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79101049900002040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прочей кредиторской задолженности расчетов с прочими кредиторами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результата экономического субъекта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текущего финансового года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финансового года, предшествующего отчетному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прошлых финансовых лет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текущего финансового периода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прошлых финансовых лет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текущего финансового года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получателя бюджетных средств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Полученные лимиты бюджетных обязательств 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Лимиты бюджетных обязательств получателей бюджетных средств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лимиты бюджетных обязательств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Обязательства первого года, следующего за текущим (очередного финансового года)</w:t>
            </w:r>
          </w:p>
        </w:tc>
      </w:tr>
      <w:tr w:rsidR="00DC3D54" w:rsidRPr="00DC3D54" w:rsidTr="00C35EF4">
        <w:tc>
          <w:tcPr>
            <w:tcW w:w="93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 текущего финансового года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Доведенные бюджетные ассигнования 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Полученные бюджетные ассигнования 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Полученные бюджетные ассигнования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DC3D54" w:rsidRPr="00DC3D54" w:rsidTr="00C35EF4"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3D54" w:rsidRPr="00DC3D54" w:rsidRDefault="00DC3D54" w:rsidP="00DC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3D5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</w:tbl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color w:val="993366"/>
          <w:sz w:val="20"/>
          <w:szCs w:val="20"/>
          <w:vertAlign w:val="superscript"/>
        </w:rPr>
        <w:t>1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t xml:space="preserve"> КБК (1–17-й разряд счета) формируются в соответствии с законом (решением) о бюджете и указаниями о порядке применения бюджетной классификации, утвержденными приказом Минфина России от 1 июля 2013 г. № 65н.</w:t>
      </w:r>
    </w:p>
    <w:p w:rsidR="00DC3D54" w:rsidRPr="00DC3D54" w:rsidRDefault="00DC3D54" w:rsidP="00DC3D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3D54">
        <w:rPr>
          <w:rFonts w:ascii="Times New Roman" w:eastAsia="Times New Roman" w:hAnsi="Times New Roman" w:cs="Times New Roman"/>
          <w:color w:val="993366"/>
          <w:sz w:val="20"/>
          <w:szCs w:val="20"/>
          <w:vertAlign w:val="superscript"/>
        </w:rPr>
        <w:t>2</w:t>
      </w:r>
      <w:r w:rsidRPr="00DC3D54">
        <w:rPr>
          <w:rFonts w:ascii="Times New Roman" w:eastAsia="Times New Roman" w:hAnsi="Times New Roman" w:cs="Times New Roman"/>
          <w:color w:val="993366"/>
          <w:sz w:val="24"/>
          <w:szCs w:val="24"/>
        </w:rPr>
        <w:t xml:space="preserve"> </w:t>
      </w:r>
      <w:r w:rsidRPr="00DC3D54">
        <w:rPr>
          <w:rFonts w:ascii="Times New Roman" w:eastAsia="Times New Roman" w:hAnsi="Times New Roman" w:cs="Times New Roman"/>
          <w:bCs/>
          <w:sz w:val="20"/>
          <w:szCs w:val="20"/>
        </w:rPr>
        <w:t>В учреждении применяются следующие коды финансового обеспечения (КФО), 18-й разряд номера счета:</w:t>
      </w:r>
      <w:r w:rsidRPr="00DC3D54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– 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t>1 – бюджетная деятельность;</w:t>
      </w:r>
      <w:r w:rsidRPr="00DC3D54">
        <w:rPr>
          <w:rFonts w:ascii="Times New Roman" w:eastAsia="Times New Roman" w:hAnsi="Times New Roman" w:cs="Times New Roman"/>
          <w:sz w:val="20"/>
          <w:szCs w:val="20"/>
        </w:rPr>
        <w:br/>
        <w:t>– 3 – средства во временном распоряжении.</w:t>
      </w:r>
    </w:p>
    <w:p w:rsidR="00DC3D54" w:rsidRPr="00DC3D54" w:rsidRDefault="00DC3D54" w:rsidP="00DC3D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924F2" w:rsidRDefault="004924F2"/>
    <w:sectPr w:rsidR="004924F2" w:rsidSect="00C3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465"/>
    <w:multiLevelType w:val="hybridMultilevel"/>
    <w:tmpl w:val="9D8C9E3E"/>
    <w:lvl w:ilvl="0" w:tplc="4AE2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3D54"/>
    <w:rsid w:val="004924F2"/>
    <w:rsid w:val="004B0C3A"/>
    <w:rsid w:val="00C35EF4"/>
    <w:rsid w:val="00C65707"/>
    <w:rsid w:val="00D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7"/>
  </w:style>
  <w:style w:type="paragraph" w:styleId="1">
    <w:name w:val="heading 1"/>
    <w:basedOn w:val="a"/>
    <w:link w:val="10"/>
    <w:uiPriority w:val="9"/>
    <w:qFormat/>
    <w:rsid w:val="00DC3D54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C3D5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3D54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D54"/>
    <w:rPr>
      <w:rFonts w:ascii="Arial" w:eastAsia="Times New Roman" w:hAnsi="Arial" w:cs="Arial"/>
      <w:b/>
      <w:bCs/>
      <w:kern w:val="36"/>
    </w:rPr>
  </w:style>
  <w:style w:type="character" w:customStyle="1" w:styleId="20">
    <w:name w:val="Заголовок 2 Знак"/>
    <w:basedOn w:val="a0"/>
    <w:link w:val="2"/>
    <w:uiPriority w:val="9"/>
    <w:rsid w:val="00DC3D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3D54"/>
    <w:rPr>
      <w:rFonts w:ascii="Arial" w:eastAsia="Times New Roman" w:hAnsi="Arial" w:cs="Arial"/>
      <w:b/>
      <w:bCs/>
      <w:sz w:val="32"/>
      <w:szCs w:val="32"/>
    </w:rPr>
  </w:style>
  <w:style w:type="numbering" w:customStyle="1" w:styleId="11">
    <w:name w:val="Нет списка1"/>
    <w:next w:val="a2"/>
    <w:uiPriority w:val="99"/>
    <w:semiHidden/>
    <w:rsid w:val="00DC3D54"/>
  </w:style>
  <w:style w:type="paragraph" w:customStyle="1" w:styleId="12">
    <w:name w:val="Знак1"/>
    <w:basedOn w:val="a"/>
    <w:next w:val="a"/>
    <w:semiHidden/>
    <w:rsid w:val="00DC3D5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3">
    <w:name w:val="Верхний колонтитул Знак"/>
    <w:link w:val="a4"/>
    <w:uiPriority w:val="99"/>
    <w:locked/>
    <w:rsid w:val="00DC3D54"/>
    <w:rPr>
      <w:sz w:val="24"/>
    </w:rPr>
  </w:style>
  <w:style w:type="paragraph" w:styleId="a4">
    <w:name w:val="header"/>
    <w:basedOn w:val="a"/>
    <w:link w:val="a3"/>
    <w:uiPriority w:val="99"/>
    <w:rsid w:val="00DC3D5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customStyle="1" w:styleId="13">
    <w:name w:val="Верхний колонтитул Знак1"/>
    <w:basedOn w:val="a0"/>
    <w:link w:val="a4"/>
    <w:uiPriority w:val="99"/>
    <w:semiHidden/>
    <w:rsid w:val="00DC3D54"/>
  </w:style>
  <w:style w:type="character" w:styleId="a5">
    <w:name w:val="Hyperlink"/>
    <w:basedOn w:val="a0"/>
    <w:uiPriority w:val="99"/>
    <w:unhideWhenUsed/>
    <w:rsid w:val="00DC3D54"/>
    <w:rPr>
      <w:color w:val="0000FF"/>
      <w:u w:val="single"/>
    </w:rPr>
  </w:style>
  <w:style w:type="paragraph" w:styleId="a6">
    <w:name w:val="Balloon Text"/>
    <w:basedOn w:val="a"/>
    <w:link w:val="a7"/>
    <w:uiPriority w:val="99"/>
    <w:unhideWhenUsed/>
    <w:rsid w:val="00DC3D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DC3D54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DC3D54"/>
    <w:pPr>
      <w:shd w:val="clear" w:color="auto" w:fill="E66E5A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lspace">
    <w:name w:val="lspace"/>
    <w:basedOn w:val="a0"/>
    <w:rsid w:val="00DC3D54"/>
    <w:rPr>
      <w:color w:val="FF9900"/>
    </w:rPr>
  </w:style>
  <w:style w:type="character" w:customStyle="1" w:styleId="small">
    <w:name w:val="small"/>
    <w:basedOn w:val="a0"/>
    <w:rsid w:val="00DC3D54"/>
    <w:rPr>
      <w:sz w:val="16"/>
      <w:szCs w:val="16"/>
    </w:rPr>
  </w:style>
  <w:style w:type="character" w:customStyle="1" w:styleId="fill">
    <w:name w:val="fill"/>
    <w:basedOn w:val="a0"/>
    <w:rsid w:val="00DC3D54"/>
    <w:rPr>
      <w:b/>
      <w:bCs/>
      <w:i/>
      <w:iCs/>
      <w:color w:val="FF0000"/>
    </w:rPr>
  </w:style>
  <w:style w:type="character" w:customStyle="1" w:styleId="enp">
    <w:name w:val="enp"/>
    <w:basedOn w:val="a0"/>
    <w:rsid w:val="00DC3D54"/>
    <w:rPr>
      <w:color w:val="3C7828"/>
    </w:rPr>
  </w:style>
  <w:style w:type="character" w:customStyle="1" w:styleId="kdkss">
    <w:name w:val="kdkss"/>
    <w:basedOn w:val="a0"/>
    <w:rsid w:val="00DC3D54"/>
    <w:rPr>
      <w:color w:val="BE780A"/>
    </w:rPr>
  </w:style>
  <w:style w:type="paragraph" w:styleId="a8">
    <w:name w:val="List Paragraph"/>
    <w:basedOn w:val="a"/>
    <w:uiPriority w:val="34"/>
    <w:qFormat/>
    <w:rsid w:val="00DC3D54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DC3D5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C3D54"/>
    <w:rPr>
      <w:rFonts w:ascii="Arial" w:eastAsia="Times New Roman" w:hAnsi="Arial" w:cs="Arial"/>
      <w:sz w:val="20"/>
      <w:szCs w:val="20"/>
    </w:rPr>
  </w:style>
  <w:style w:type="character" w:styleId="ab">
    <w:name w:val="annotation reference"/>
    <w:basedOn w:val="a0"/>
    <w:uiPriority w:val="99"/>
    <w:unhideWhenUsed/>
    <w:rsid w:val="00DC3D54"/>
    <w:rPr>
      <w:sz w:val="16"/>
      <w:szCs w:val="16"/>
    </w:rPr>
  </w:style>
  <w:style w:type="paragraph" w:styleId="ac">
    <w:name w:val="Normal (Web)"/>
    <w:basedOn w:val="a"/>
    <w:uiPriority w:val="99"/>
    <w:unhideWhenUsed/>
    <w:rsid w:val="00DC3D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annotation subject"/>
    <w:basedOn w:val="a9"/>
    <w:next w:val="a9"/>
    <w:link w:val="ae"/>
    <w:uiPriority w:val="99"/>
    <w:unhideWhenUsed/>
    <w:rsid w:val="00DC3D54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rsid w:val="00DC3D54"/>
    <w:rPr>
      <w:b/>
      <w:bCs/>
    </w:rPr>
  </w:style>
  <w:style w:type="paragraph" w:styleId="af">
    <w:name w:val="Revision"/>
    <w:hidden/>
    <w:uiPriority w:val="99"/>
    <w:semiHidden/>
    <w:rsid w:val="00DC3D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C3D5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DC3D54"/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C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C3D54"/>
    <w:rPr>
      <w:rFonts w:ascii="Arial" w:eastAsia="Times New Roman" w:hAnsi="Arial" w:cs="Arial"/>
      <w:sz w:val="20"/>
      <w:szCs w:val="20"/>
    </w:rPr>
  </w:style>
  <w:style w:type="paragraph" w:customStyle="1" w:styleId="Normalunindented">
    <w:name w:val="Normal unindented"/>
    <w:aliases w:val="Обычный Без отступа"/>
    <w:qFormat/>
    <w:rsid w:val="00DC3D54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DC3D54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character" w:styleId="af2">
    <w:name w:val="footnote reference"/>
    <w:basedOn w:val="a0"/>
    <w:rsid w:val="00DC3D54"/>
    <w:rPr>
      <w:vertAlign w:val="superscript"/>
    </w:rPr>
  </w:style>
  <w:style w:type="paragraph" w:styleId="af3">
    <w:name w:val="footnote text"/>
    <w:basedOn w:val="a"/>
    <w:link w:val="af4"/>
    <w:rsid w:val="00DC3D54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DC3D54"/>
    <w:rPr>
      <w:rFonts w:ascii="Times New Roman" w:eastAsia="Times New Roman" w:hAnsi="Times New Roman" w:cs="Times New Roman"/>
      <w:sz w:val="20"/>
      <w:szCs w:val="20"/>
    </w:rPr>
  </w:style>
  <w:style w:type="character" w:customStyle="1" w:styleId="hidden">
    <w:name w:val="hidden"/>
    <w:basedOn w:val="a0"/>
    <w:rsid w:val="00DC3D54"/>
  </w:style>
  <w:style w:type="character" w:customStyle="1" w:styleId="apple-converted-space">
    <w:name w:val="apple-converted-space"/>
    <w:basedOn w:val="a0"/>
    <w:rsid w:val="00DC3D54"/>
  </w:style>
  <w:style w:type="paragraph" w:customStyle="1" w:styleId="copyright-info">
    <w:name w:val="copyright-info"/>
    <w:basedOn w:val="a"/>
    <w:rsid w:val="00D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DC3D54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table" w:styleId="af6">
    <w:name w:val="Table Grid"/>
    <w:basedOn w:val="a1"/>
    <w:uiPriority w:val="59"/>
    <w:rsid w:val="00DC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D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DC3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unhideWhenUsed/>
    <w:rsid w:val="00DC3D54"/>
    <w:rPr>
      <w:color w:val="800080"/>
      <w:u w:val="single"/>
    </w:rPr>
  </w:style>
  <w:style w:type="paragraph" w:styleId="af8">
    <w:name w:val="No Spacing"/>
    <w:uiPriority w:val="1"/>
    <w:qFormat/>
    <w:rsid w:val="00DC3D5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Emphasis"/>
    <w:basedOn w:val="a0"/>
    <w:uiPriority w:val="20"/>
    <w:qFormat/>
    <w:rsid w:val="00DC3D54"/>
    <w:rPr>
      <w:i/>
      <w:iCs/>
    </w:rPr>
  </w:style>
  <w:style w:type="character" w:styleId="afa">
    <w:name w:val="Strong"/>
    <w:basedOn w:val="a0"/>
    <w:uiPriority w:val="22"/>
    <w:qFormat/>
    <w:rsid w:val="00DC3D54"/>
    <w:rPr>
      <w:b/>
      <w:bCs/>
    </w:rPr>
  </w:style>
  <w:style w:type="character" w:customStyle="1" w:styleId="title">
    <w:name w:val="title"/>
    <w:basedOn w:val="a0"/>
    <w:rsid w:val="00DC3D54"/>
  </w:style>
  <w:style w:type="paragraph" w:customStyle="1" w:styleId="ConsPlusTitle">
    <w:name w:val="ConsPlusTitle"/>
    <w:uiPriority w:val="99"/>
    <w:rsid w:val="00DC3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3157</Words>
  <Characters>17999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2019-07-11T10:31:00Z</cp:lastPrinted>
  <dcterms:created xsi:type="dcterms:W3CDTF">2019-07-11T06:17:00Z</dcterms:created>
  <dcterms:modified xsi:type="dcterms:W3CDTF">2019-07-11T10:36:00Z</dcterms:modified>
</cp:coreProperties>
</file>