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2201D" w:rsidTr="00C2201D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муниципальрайонының</w:t>
            </w:r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 ауыл Советы</w:t>
            </w:r>
          </w:p>
          <w:p w:rsidR="00C2201D" w:rsidRPr="00887A7C" w:rsidRDefault="00C2201D" w:rsidP="00C2201D">
            <w:pPr>
              <w:pStyle w:val="1"/>
              <w:rPr>
                <w:b w:val="0"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>ауыл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>Хакимиәте</w:t>
            </w:r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C2201D" w:rsidRPr="004D165D" w:rsidRDefault="00C2201D" w:rsidP="00C2201D">
            <w:pPr>
              <w:spacing w:after="0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Шаран районы Шаран  ауыл Советы</w:t>
            </w:r>
          </w:p>
          <w:p w:rsidR="00C2201D" w:rsidRPr="00B6718F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урамы,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9.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 аулы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Default="00C2201D" w:rsidP="00C2201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2201D" w:rsidRPr="00F45BBE" w:rsidRDefault="000D4D12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Нижнеташлинский сельсовет</w:t>
            </w:r>
            <w:r w:rsidR="00C2201D">
              <w:rPr>
                <w:rFonts w:ascii="ER Bukinist Bashkir" w:hAnsi="ER Bukinist Bashkir"/>
                <w:b/>
                <w:sz w:val="16"/>
                <w:szCs w:val="16"/>
              </w:rPr>
              <w:t xml:space="preserve"> Шаранского района Республики Башкортостан</w:t>
            </w:r>
          </w:p>
          <w:p w:rsidR="00C2201D" w:rsidRDefault="00C2201D" w:rsidP="00C2201D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ул. Красная,9.  с.Шаран</w:t>
            </w:r>
          </w:p>
          <w:p w:rsidR="00C2201D" w:rsidRDefault="00C2201D" w:rsidP="00C2201D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 района, Республики Башкортостан</w:t>
            </w:r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C2201D" w:rsidRPr="000D4D12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C2201D" w:rsidRPr="00C2201D" w:rsidRDefault="00C2201D" w:rsidP="00C2201D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0D4D12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ҠАРАР                                                                 </w:t>
      </w:r>
      <w:r w:rsidR="000D4D12">
        <w:rPr>
          <w:rFonts w:ascii="Times New Roman" w:eastAsia="Arial Unicode MS" w:hAnsi="Times New Roman"/>
          <w:b/>
          <w:sz w:val="26"/>
          <w:szCs w:val="26"/>
        </w:rPr>
        <w:t xml:space="preserve">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  ПОСТАНОВЛЕНИЕ</w:t>
      </w:r>
    </w:p>
    <w:p w:rsidR="00C2201D" w:rsidRPr="00C2201D" w:rsidRDefault="00C2201D" w:rsidP="00C2201D">
      <w:pPr>
        <w:widowControl w:val="0"/>
        <w:rPr>
          <w:rFonts w:ascii="Times New Roman" w:hAnsi="Times New Roman"/>
          <w:sz w:val="28"/>
          <w:szCs w:val="28"/>
        </w:rPr>
      </w:pPr>
      <w:r w:rsidRPr="00C2201D">
        <w:rPr>
          <w:rFonts w:ascii="Times New Roman" w:hAnsi="Times New Roman"/>
          <w:sz w:val="28"/>
          <w:szCs w:val="28"/>
        </w:rPr>
        <w:t xml:space="preserve">«05» март 2020 й                </w:t>
      </w:r>
      <w:r w:rsidR="000D4D12">
        <w:rPr>
          <w:rFonts w:ascii="Times New Roman" w:hAnsi="Times New Roman"/>
          <w:sz w:val="28"/>
          <w:szCs w:val="28"/>
        </w:rPr>
        <w:t xml:space="preserve">       </w:t>
      </w:r>
      <w:r w:rsidRPr="00C2201D">
        <w:rPr>
          <w:rFonts w:ascii="Times New Roman" w:hAnsi="Times New Roman"/>
          <w:sz w:val="28"/>
          <w:szCs w:val="28"/>
        </w:rPr>
        <w:t xml:space="preserve">  </w:t>
      </w:r>
      <w:r w:rsidR="000D4D12">
        <w:rPr>
          <w:rFonts w:ascii="Times New Roman" w:hAnsi="Times New Roman"/>
          <w:sz w:val="28"/>
          <w:szCs w:val="28"/>
        </w:rPr>
        <w:t xml:space="preserve">           </w:t>
      </w:r>
      <w:r w:rsidRPr="00C2201D">
        <w:rPr>
          <w:rFonts w:ascii="Times New Roman" w:hAnsi="Times New Roman"/>
          <w:sz w:val="28"/>
          <w:szCs w:val="28"/>
        </w:rPr>
        <w:t>№</w:t>
      </w:r>
      <w:r w:rsidR="000D4D12">
        <w:rPr>
          <w:rFonts w:ascii="Times New Roman" w:hAnsi="Times New Roman"/>
          <w:sz w:val="28"/>
          <w:szCs w:val="28"/>
        </w:rPr>
        <w:t>19</w:t>
      </w:r>
      <w:r w:rsidRPr="00C2201D">
        <w:rPr>
          <w:rFonts w:ascii="Times New Roman" w:hAnsi="Times New Roman"/>
          <w:sz w:val="28"/>
          <w:szCs w:val="28"/>
        </w:rPr>
        <w:t xml:space="preserve">      </w:t>
      </w:r>
      <w:r w:rsidR="000D4D12">
        <w:rPr>
          <w:rFonts w:ascii="Times New Roman" w:hAnsi="Times New Roman"/>
          <w:sz w:val="28"/>
          <w:szCs w:val="28"/>
        </w:rPr>
        <w:t xml:space="preserve">                  </w:t>
      </w:r>
      <w:r w:rsidRPr="00C2201D">
        <w:rPr>
          <w:rFonts w:ascii="Times New Roman" w:hAnsi="Times New Roman"/>
          <w:sz w:val="28"/>
          <w:szCs w:val="28"/>
        </w:rPr>
        <w:t xml:space="preserve">   «05» марта 2020 г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  <w:r w:rsidR="000D4D12">
        <w:rPr>
          <w:rFonts w:ascii="Times New Roman" w:hAnsi="Times New Roman"/>
          <w:b/>
          <w:sz w:val="28"/>
          <w:szCs w:val="28"/>
        </w:rPr>
        <w:t>Нижнеташлинский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4D12">
        <w:rPr>
          <w:rFonts w:ascii="Times New Roman" w:hAnsi="Times New Roman"/>
          <w:sz w:val="28"/>
          <w:szCs w:val="28"/>
        </w:rPr>
        <w:t>Нижнеташлинский сельсовет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0D4D12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0D4D12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4D12">
        <w:rPr>
          <w:rFonts w:ascii="Times New Roman" w:hAnsi="Times New Roman"/>
          <w:sz w:val="28"/>
          <w:szCs w:val="28"/>
        </w:rPr>
        <w:t>Нижнеташлинский сельсовет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0D4D12">
        <w:rPr>
          <w:rFonts w:ascii="Times New Roman" w:hAnsi="Times New Roman"/>
          <w:sz w:val="28"/>
          <w:szCs w:val="28"/>
        </w:rPr>
        <w:t xml:space="preserve"> 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0D4D12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на стенде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D4D12">
        <w:rPr>
          <w:rFonts w:ascii="Times New Roman" w:hAnsi="Times New Roman"/>
          <w:sz w:val="28"/>
          <w:szCs w:val="28"/>
        </w:rPr>
        <w:t>Нижнеташлинский сельсовет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0D4D12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344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Нижнеташлинский сельсовет</w:t>
      </w:r>
      <w:r w:rsidR="007843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="00784344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6</w:t>
      </w:r>
      <w:r w:rsidR="00784344">
        <w:rPr>
          <w:rFonts w:ascii="Times New Roman" w:hAnsi="Times New Roman"/>
          <w:sz w:val="28"/>
          <w:szCs w:val="28"/>
        </w:rPr>
        <w:t xml:space="preserve">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Г.</w:t>
      </w:r>
      <w:r w:rsidR="000D4D12">
        <w:rPr>
          <w:rFonts w:ascii="Times New Roman" w:hAnsi="Times New Roman"/>
          <w:sz w:val="28"/>
          <w:szCs w:val="28"/>
        </w:rPr>
        <w:t>С.Гарифуллина</w:t>
      </w: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D4D12">
        <w:rPr>
          <w:rFonts w:ascii="Times New Roman" w:hAnsi="Times New Roman"/>
          <w:color w:val="000000"/>
          <w:sz w:val="24"/>
          <w:szCs w:val="24"/>
        </w:rPr>
        <w:t>Нижнеташлинский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05.03.2020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D4D1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19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0D4D12">
        <w:rPr>
          <w:sz w:val="28"/>
          <w:szCs w:val="28"/>
        </w:rPr>
        <w:t>НИЖНЕТАШЛИНСКИЙ СЕЛЬСОВЕТ</w:t>
      </w:r>
      <w:r w:rsidR="00784344">
        <w:rPr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085B73" w:rsidRDefault="00085B73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0D4D12">
        <w:rPr>
          <w:rFonts w:ascii="Times New Roman" w:hAnsi="Times New Roman" w:cs="Times New Roman"/>
          <w:b/>
          <w:sz w:val="28"/>
          <w:szCs w:val="28"/>
        </w:rPr>
        <w:t>Нижнеташлинский сельсовет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D1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="00784344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4D1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0D4D1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>налоговых и неналоговых доходов 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решением Совета депутатовсельского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работ, 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Возмещение расходов бюджета 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E752D8">
        <w:rPr>
          <w:rFonts w:ascii="Times New Roman" w:hAnsi="Times New Roman" w:cs="Times New Roman"/>
          <w:sz w:val="28"/>
          <w:szCs w:val="28"/>
        </w:rPr>
        <w:t xml:space="preserve"> </w:t>
      </w:r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752D8">
        <w:rPr>
          <w:rFonts w:ascii="Times New Roman" w:hAnsi="Times New Roman" w:cs="Times New Roman"/>
          <w:sz w:val="28"/>
          <w:szCs w:val="28"/>
        </w:rPr>
        <w:t xml:space="preserve"> 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(далее-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9D401D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 и отчетности осуществляет</w:t>
      </w:r>
      <w:r w:rsidR="00B14210">
        <w:rPr>
          <w:rFonts w:ascii="Times New Roman" w:hAnsi="Times New Roman"/>
          <w:sz w:val="28"/>
          <w:szCs w:val="28"/>
        </w:rPr>
        <w:t xml:space="preserve"> бухгалтерА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>. В обращении на выделение средств  для выполнения работ по ликвидации последствий чрезвычайной ситуации в случае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.</w:t>
      </w:r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годовому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в Совет депутатов сельского поселенияи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DB2C81" w:rsidRPr="007D6E5E" w:rsidRDefault="00DB2C81" w:rsidP="007D6E5E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D4D12">
        <w:rPr>
          <w:rFonts w:ascii="Times New Roman" w:eastAsia="Calibri" w:hAnsi="Times New Roman" w:cs="Times New Roman"/>
          <w:sz w:val="24"/>
          <w:szCs w:val="24"/>
        </w:rPr>
        <w:t>Нижнеташлинский сельсовет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наприобретение продуктов питания (указываетсякаждый вид)и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(подотрасли)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0D4D12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Нижнеташлинский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581D38" w:rsidRDefault="000D4D12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Нижнеташлинский сельсовет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0D4D12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Нижнеташлинский сельсовет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района________________/инициалы,фамилия/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  <w:r w:rsidR="000D4D12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Нижнеташлинский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B41F50" w:rsidP="00463886">
      <w:pPr>
        <w:pStyle w:val="ConsPlusNonformat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    </w:t>
      </w:r>
      <w:r w:rsidR="007A4C48" w:rsidRPr="00887C24">
        <w:rPr>
          <w:rFonts w:ascii="Times New Roman" w:hAnsi="Times New Roman" w:cs="Times New Roman"/>
        </w:rPr>
        <w:t>чрезвычайной ситуации)   (наименование                       населенного пункта)</w:t>
      </w:r>
    </w:p>
    <w:p w:rsidR="00B41F50" w:rsidRPr="00887C24" w:rsidRDefault="00B41F50" w:rsidP="00463886">
      <w:pPr>
        <w:pStyle w:val="ConsPlusNonforma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балансе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>&lt;*&gt; Подтверждается документами государственного 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фонда сельского поселения </w:t>
            </w:r>
            <w:r w:rsidR="000D4D12">
              <w:rPr>
                <w:rFonts w:ascii="Times New Roman" w:eastAsia="Calibri" w:hAnsi="Times New Roman" w:cs="Times New Roman"/>
                <w:sz w:val="22"/>
                <w:szCs w:val="22"/>
              </w:rPr>
              <w:t>Нижнеташлинский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 область, 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0D4D12">
        <w:rPr>
          <w:rFonts w:ascii="Times New Roman" w:eastAsia="Calibri" w:hAnsi="Times New Roman" w:cs="Times New Roman"/>
          <w:sz w:val="24"/>
          <w:szCs w:val="24"/>
        </w:rPr>
        <w:t>Нижнеташлинский сельсовет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 w:rsidR="00E752D8">
              <w:rPr>
                <w:rFonts w:ascii="Times New Roman" w:hAnsi="Times New Roman" w:cs="Times New Roman"/>
              </w:rPr>
              <w:t>Администрации Шаранского</w:t>
            </w:r>
            <w:r w:rsidR="0049056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0D4D12">
        <w:rPr>
          <w:rFonts w:ascii="Times New Roman" w:eastAsia="Calibri" w:hAnsi="Times New Roman" w:cs="Times New Roman"/>
          <w:sz w:val="24"/>
          <w:szCs w:val="24"/>
        </w:rPr>
        <w:t>Нижнеташлинский сельсовет</w:t>
      </w: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0D4D12">
        <w:rPr>
          <w:rFonts w:ascii="Times New Roman" w:hAnsi="Times New Roman"/>
          <w:sz w:val="24"/>
          <w:szCs w:val="24"/>
        </w:rPr>
        <w:t>НИЖНЕТАШЛИНСКИЙ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4D12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46632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1997"/>
    <w:rsid w:val="00E44D18"/>
    <w:rsid w:val="00E45CBF"/>
    <w:rsid w:val="00E50FEF"/>
    <w:rsid w:val="00E52B38"/>
    <w:rsid w:val="00E676EA"/>
    <w:rsid w:val="00E710E7"/>
    <w:rsid w:val="00E752D8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981-E580-4C14-8DA1-0F2FE99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6</cp:revision>
  <cp:lastPrinted>2019-05-28T12:29:00Z</cp:lastPrinted>
  <dcterms:created xsi:type="dcterms:W3CDTF">2020-03-11T06:36:00Z</dcterms:created>
  <dcterms:modified xsi:type="dcterms:W3CDTF">2020-03-12T06:24:00Z</dcterms:modified>
</cp:coreProperties>
</file>