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B" w:rsidRPr="009A0397" w:rsidRDefault="007B5DFB" w:rsidP="007B5DFB">
      <w:pPr>
        <w:keepNext/>
        <w:outlineLvl w:val="0"/>
        <w:rPr>
          <w:rFonts w:eastAsia="Arial Unicode MS"/>
          <w:b/>
          <w:bCs/>
          <w:sz w:val="28"/>
        </w:rPr>
      </w:pPr>
      <w:r>
        <w:rPr>
          <w:rFonts w:ascii="a_Helver Bashkir" w:eastAsia="Arial Unicode MS" w:hAnsi="a_Helver Bashkir"/>
          <w:b/>
          <w:bCs/>
          <w:sz w:val="26"/>
          <w:szCs w:val="26"/>
        </w:rPr>
        <w:t xml:space="preserve">    </w:t>
      </w:r>
      <w:r w:rsidRPr="009A0397">
        <w:rPr>
          <w:rFonts w:ascii="a_Helver Bashkir" w:eastAsia="Arial Unicode MS" w:hAnsi="a_Helver Bashkir"/>
          <w:b/>
          <w:bCs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7B5DFB" w:rsidRPr="00145533" w:rsidTr="006D4EF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7B5DFB" w:rsidRPr="00145533" w:rsidRDefault="007B5DFB" w:rsidP="006D4EF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lang w:val="en-US"/>
              </w:rPr>
            </w:pPr>
            <w:r w:rsidRPr="00145533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145533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45264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с.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ул.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, 2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, факс (34769) 2-5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7B5DFB" w:rsidRPr="00145533" w:rsidRDefault="007B5DFB" w:rsidP="006D4EF4">
            <w:pPr>
              <w:rPr>
                <w:rFonts w:eastAsia="Arial Unicode MS"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>
              <w:fldChar w:fldCharType="begin"/>
            </w:r>
            <w:r>
              <w:instrText>HYPERLINK</w:instrText>
            </w:r>
            <w:r w:rsidRPr="001C5B49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1C5B49">
              <w:rPr>
                <w:lang w:val="be-BY"/>
              </w:rPr>
              <w:instrText>://</w:instrText>
            </w:r>
            <w:r>
              <w:instrText>ntashly</w:instrText>
            </w:r>
            <w:r w:rsidRPr="001C5B49">
              <w:rPr>
                <w:lang w:val="be-BY"/>
              </w:rPr>
              <w:instrText>.</w:instrText>
            </w:r>
            <w:r>
              <w:instrText>sharan</w:instrText>
            </w:r>
            <w:r w:rsidRPr="001C5B49">
              <w:rPr>
                <w:lang w:val="be-BY"/>
              </w:rPr>
              <w:instrText>-</w:instrText>
            </w:r>
            <w:r>
              <w:instrText>sovet</w:instrText>
            </w:r>
            <w:r w:rsidRPr="001C5B49">
              <w:rPr>
                <w:lang w:val="be-BY"/>
              </w:rPr>
              <w:instrText>.</w:instrText>
            </w:r>
            <w:r>
              <w:instrText>ru</w:instrText>
            </w:r>
            <w:r w:rsidRPr="001C5B49">
              <w:rPr>
                <w:lang w:val="be-BY"/>
              </w:rPr>
              <w:instrText>"</w:instrText>
            </w:r>
            <w:r>
              <w:fldChar w:fldCharType="separate"/>
            </w:r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7B5DFB" w:rsidRPr="00145533" w:rsidRDefault="007B5DFB" w:rsidP="006D4EF4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145533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7B5DFB" w:rsidRDefault="007B5DFB" w:rsidP="007B5DFB">
      <w:pPr>
        <w:keepNext/>
        <w:outlineLvl w:val="0"/>
        <w:rPr>
          <w:rFonts w:eastAsia="Calibri"/>
          <w:b/>
          <w:color w:val="000000"/>
          <w:spacing w:val="-1"/>
          <w:kern w:val="2"/>
          <w:sz w:val="28"/>
          <w:szCs w:val="28"/>
          <w:lang w:eastAsia="ar-SA"/>
        </w:rPr>
      </w:pPr>
      <w:r>
        <w:rPr>
          <w:rFonts w:eastAsia="Calibri"/>
          <w:b/>
          <w:color w:val="000000"/>
          <w:spacing w:val="-1"/>
          <w:kern w:val="2"/>
          <w:sz w:val="28"/>
          <w:szCs w:val="28"/>
          <w:lang w:eastAsia="ar-SA"/>
        </w:rPr>
        <w:t xml:space="preserve">                            </w:t>
      </w:r>
      <w:r w:rsidRPr="007E1B2F">
        <w:rPr>
          <w:rFonts w:eastAsia="Calibri"/>
          <w:b/>
          <w:color w:val="000000"/>
          <w:spacing w:val="-1"/>
          <w:kern w:val="2"/>
          <w:sz w:val="28"/>
          <w:szCs w:val="28"/>
          <w:lang w:eastAsia="ar-SA"/>
        </w:rPr>
        <w:t xml:space="preserve">КАРАР                               </w:t>
      </w:r>
      <w:r>
        <w:rPr>
          <w:rFonts w:eastAsia="Calibri"/>
          <w:b/>
          <w:color w:val="000000"/>
          <w:spacing w:val="-1"/>
          <w:kern w:val="2"/>
          <w:sz w:val="28"/>
          <w:szCs w:val="28"/>
          <w:lang w:eastAsia="ar-SA"/>
        </w:rPr>
        <w:t xml:space="preserve">             </w:t>
      </w:r>
      <w:r w:rsidRPr="007E1B2F">
        <w:rPr>
          <w:rFonts w:eastAsia="Calibri"/>
          <w:b/>
          <w:color w:val="000000"/>
          <w:spacing w:val="-1"/>
          <w:kern w:val="2"/>
          <w:sz w:val="28"/>
          <w:szCs w:val="28"/>
          <w:lang w:eastAsia="ar-SA"/>
        </w:rPr>
        <w:t xml:space="preserve">                       </w:t>
      </w:r>
      <w:r w:rsidRPr="001C5B49">
        <w:rPr>
          <w:rFonts w:eastAsia="Calibri"/>
          <w:b/>
          <w:color w:val="000000"/>
          <w:spacing w:val="-1"/>
          <w:kern w:val="2"/>
          <w:sz w:val="28"/>
          <w:szCs w:val="28"/>
          <w:lang w:eastAsia="ar-SA"/>
        </w:rPr>
        <w:t xml:space="preserve">   </w:t>
      </w:r>
      <w:r w:rsidRPr="007E1B2F">
        <w:rPr>
          <w:rFonts w:eastAsia="Calibri"/>
          <w:b/>
          <w:color w:val="000000"/>
          <w:spacing w:val="-1"/>
          <w:kern w:val="2"/>
          <w:sz w:val="28"/>
          <w:szCs w:val="28"/>
          <w:lang w:eastAsia="ar-SA"/>
        </w:rPr>
        <w:t>РЕШЕНИЕ</w:t>
      </w:r>
    </w:p>
    <w:p w:rsidR="007B5DFB" w:rsidRPr="007B5DFB" w:rsidRDefault="007B5DFB" w:rsidP="007B5DFB">
      <w:pPr>
        <w:keepNext/>
        <w:outlineLvl w:val="0"/>
        <w:rPr>
          <w:rFonts w:eastAsia="Calibri"/>
          <w:b/>
          <w:color w:val="000000"/>
          <w:spacing w:val="-1"/>
          <w:kern w:val="2"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</w:t>
      </w:r>
    </w:p>
    <w:p w:rsidR="007B5DFB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Pr="002D13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</w:p>
    <w:p w:rsidR="007B5DFB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Нижнеташлинский сельсовет муниципального района Шаранский район республики Башкортостан</w:t>
      </w:r>
    </w:p>
    <w:p w:rsidR="007B5DFB" w:rsidRPr="002D131F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образовании,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5DFB" w:rsidRPr="002D131F" w:rsidRDefault="007B5DFB" w:rsidP="007B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Башкортостан» </w:t>
      </w:r>
      <w:r w:rsidRPr="002D13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B5DFB" w:rsidRDefault="007B5DFB" w:rsidP="007B5DFB">
      <w:pPr>
        <w:pStyle w:val="a3"/>
        <w:ind w:left="0" w:firstLine="556"/>
        <w:contextualSpacing/>
        <w:jc w:val="both"/>
        <w:rPr>
          <w:szCs w:val="28"/>
        </w:rPr>
      </w:pPr>
      <w:r w:rsidRPr="00A96855">
        <w:rPr>
          <w:szCs w:val="28"/>
        </w:rPr>
        <w:t xml:space="preserve">2. </w:t>
      </w:r>
      <w:r>
        <w:rPr>
          <w:szCs w:val="28"/>
        </w:rPr>
        <w:t xml:space="preserve">Опубликовать настоящее решение </w:t>
      </w:r>
      <w:r w:rsidRPr="00A96855">
        <w:rPr>
          <w:szCs w:val="28"/>
        </w:rPr>
        <w:t xml:space="preserve">на информационном стенде </w:t>
      </w:r>
      <w:r>
        <w:rPr>
          <w:szCs w:val="28"/>
        </w:rPr>
        <w:t>сельского поселения Нижнеташлинский сельсовет</w:t>
      </w:r>
      <w:r w:rsidRPr="00A96855">
        <w:rPr>
          <w:szCs w:val="28"/>
        </w:rPr>
        <w:t xml:space="preserve"> муниципального района Шаранский район Республики Башкортостан и на сайте </w:t>
      </w:r>
      <w:proofErr w:type="spellStart"/>
      <w:r>
        <w:rPr>
          <w:szCs w:val="28"/>
          <w:lang w:val="en-US"/>
        </w:rPr>
        <w:t>ntashly</w:t>
      </w:r>
      <w:proofErr w:type="spellEnd"/>
      <w:r w:rsidRPr="00A96855">
        <w:rPr>
          <w:szCs w:val="28"/>
        </w:rPr>
        <w:t>.</w:t>
      </w:r>
      <w:proofErr w:type="spellStart"/>
      <w:r w:rsidRPr="00A96855">
        <w:rPr>
          <w:szCs w:val="28"/>
          <w:lang w:val="en-US"/>
        </w:rPr>
        <w:t>ru</w:t>
      </w:r>
      <w:proofErr w:type="spellEnd"/>
      <w:r w:rsidRPr="00A96855">
        <w:rPr>
          <w:szCs w:val="28"/>
        </w:rPr>
        <w:t>.</w:t>
      </w:r>
    </w:p>
    <w:p w:rsidR="007B5DFB" w:rsidRPr="00064F01" w:rsidRDefault="007B5DFB" w:rsidP="007B5DFB">
      <w:pPr>
        <w:ind w:firstLine="556"/>
        <w:jc w:val="both"/>
        <w:rPr>
          <w:sz w:val="28"/>
          <w:szCs w:val="28"/>
        </w:rPr>
      </w:pPr>
      <w:r w:rsidRPr="00064F01">
        <w:rPr>
          <w:sz w:val="28"/>
          <w:szCs w:val="28"/>
        </w:rPr>
        <w:t>3. Настоящее решение вступает в силу со дня его официального опубл</w:t>
      </w:r>
      <w:r w:rsidRPr="00064F01">
        <w:rPr>
          <w:sz w:val="28"/>
          <w:szCs w:val="28"/>
        </w:rPr>
        <w:t>и</w:t>
      </w:r>
      <w:r w:rsidRPr="00064F01">
        <w:rPr>
          <w:sz w:val="28"/>
          <w:szCs w:val="28"/>
        </w:rPr>
        <w:t>кования.</w:t>
      </w:r>
    </w:p>
    <w:p w:rsidR="007B5DFB" w:rsidRPr="00A96855" w:rsidRDefault="007B5DFB" w:rsidP="007B5DFB">
      <w:pPr>
        <w:pStyle w:val="a3"/>
        <w:ind w:left="0" w:firstLine="556"/>
        <w:contextualSpacing/>
        <w:jc w:val="both"/>
        <w:rPr>
          <w:szCs w:val="28"/>
        </w:rPr>
      </w:pPr>
    </w:p>
    <w:p w:rsidR="007B5DFB" w:rsidRP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Нижнеташлинский сельсовет муниципального района</w:t>
      </w:r>
    </w:p>
    <w:p w:rsidR="007B5DFB" w:rsidRP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 район Республики Башкортостан                                 Г.С.Гарифуллина</w:t>
      </w: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с.Нижние Ташлы</w:t>
      </w:r>
    </w:p>
    <w:p w:rsidR="007B5DFB" w:rsidRDefault="007B5DFB" w:rsidP="007B5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августа 2020 года</w:t>
      </w:r>
    </w:p>
    <w:p w:rsidR="007B5DFB" w:rsidRDefault="007B5DFB" w:rsidP="007B5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№13/99</w:t>
      </w:r>
    </w:p>
    <w:p w:rsidR="007B5DFB" w:rsidRDefault="007B5DFB" w:rsidP="007B5DF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 xml:space="preserve">Приложение к решению 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 xml:space="preserve">Совета  сельского поселения 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>муниципального района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>Шаранский район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>Республики Башкортостан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>№</w:t>
      </w:r>
      <w:r w:rsidR="009A2DCC">
        <w:rPr>
          <w:bCs/>
        </w:rPr>
        <w:t>13/99</w:t>
      </w:r>
      <w:r w:rsidRPr="009A0397">
        <w:rPr>
          <w:bCs/>
        </w:rPr>
        <w:t xml:space="preserve"> от</w:t>
      </w:r>
      <w:r>
        <w:rPr>
          <w:bCs/>
        </w:rPr>
        <w:t xml:space="preserve"> «</w:t>
      </w:r>
      <w:r w:rsidR="009A2DCC">
        <w:rPr>
          <w:bCs/>
        </w:rPr>
        <w:t>19</w:t>
      </w:r>
      <w:r w:rsidRPr="009A0397">
        <w:rPr>
          <w:bCs/>
        </w:rPr>
        <w:t>»</w:t>
      </w:r>
      <w:r>
        <w:rPr>
          <w:bCs/>
        </w:rPr>
        <w:t xml:space="preserve">августа </w:t>
      </w:r>
      <w:r w:rsidRPr="009A0397">
        <w:rPr>
          <w:bCs/>
        </w:rPr>
        <w:t>2020 года</w:t>
      </w:r>
    </w:p>
    <w:p w:rsidR="007B5DFB" w:rsidRDefault="007B5DFB" w:rsidP="007B5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7B5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7B5DFB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 сельского поселения Нижнеташлинский сельсовет муниципального района Шаранский район Республики Башкортостан</w:t>
      </w:r>
    </w:p>
    <w:p w:rsidR="007B5DFB" w:rsidRPr="002D131F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5DFB" w:rsidRPr="002D131F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 </w:t>
      </w:r>
      <w:r w:rsidRPr="00064F01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9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1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Законом Российской Федерации от 14.01.1993 № 4292-1 «Об увековечении памяти погибших  при защите Отечества», </w:t>
      </w:r>
      <w:hyperlink r:id="rId12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(далее - элементы планировочной структуры), служащие для их выделения и распознавания.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образовании в соответствии с </w:t>
      </w:r>
      <w:hyperlink w:anchor="P76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Нижнеташлинский сельсовет</w:t>
      </w:r>
      <w:r w:rsidRPr="00064F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</w:t>
      </w:r>
      <w:r w:rsidRPr="00064F01">
        <w:rPr>
          <w:rFonts w:ascii="Times New Roman" w:hAnsi="Times New Roman" w:cs="Times New Roman"/>
          <w:sz w:val="28"/>
          <w:szCs w:val="28"/>
        </w:rPr>
        <w:lastRenderedPageBreak/>
        <w:t xml:space="preserve">адресов объектам недвижимости,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. Присвоение адресов объектам недвижимости,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, производится на основании соответствующего порядка,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Советом 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7B5DFB" w:rsidRPr="00064F01" w:rsidRDefault="007B5DFB" w:rsidP="007B5D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4F01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Башкортостан, </w:t>
      </w:r>
      <w:r w:rsidRPr="00064F01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01">
        <w:rPr>
          <w:rFonts w:ascii="Times New Roman" w:hAnsi="Times New Roman" w:cs="Times New Roman"/>
          <w:sz w:val="28"/>
          <w:szCs w:val="28"/>
        </w:rPr>
        <w:t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5DFB" w:rsidRPr="00064F01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</w:t>
      </w:r>
      <w:r w:rsidRPr="00064F01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01">
        <w:rPr>
          <w:rFonts w:ascii="Times New Roman" w:hAnsi="Times New Roman" w:cs="Times New Roman"/>
          <w:sz w:val="28"/>
          <w:szCs w:val="28"/>
        </w:rPr>
        <w:t xml:space="preserve"> имеющих особую культурно-историческую ценность.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3.1.3. Устранение повторений в наименованиях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3.1.4. Устранение наименований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с номерами или многословными словосочетаниями, вызывающими значительное неудобство для произношения.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3.1.5. Иные основания в соответствии с действующим законодательством.</w:t>
      </w:r>
    </w:p>
    <w:p w:rsidR="007B5DFB" w:rsidRPr="00064F01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FB" w:rsidRPr="00064F01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064F01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и обладающих избирательным правом. Инициатива граждан по присвоению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(о переименовании элементов планировочной структуры) вносятся лицами, указанными в </w:t>
      </w:r>
      <w:hyperlink w:anchor="P76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в соответствии с Регл</w:t>
      </w:r>
      <w:r>
        <w:rPr>
          <w:rFonts w:ascii="Times New Roman" w:hAnsi="Times New Roman" w:cs="Times New Roman"/>
          <w:sz w:val="28"/>
          <w:szCs w:val="28"/>
        </w:rPr>
        <w:t xml:space="preserve">аментом работы Совета 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(о переименовании элемента планировочной структуры), в котором содержатся следующие сведения: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Нижнеташлинский сельсовет</w:t>
      </w:r>
      <w:r w:rsidRPr="00064F0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, - сведения, указанные на официальном бланке соответствующего инициатора</w:t>
      </w:r>
      <w:r w:rsidRPr="00064F01">
        <w:rPr>
          <w:rFonts w:ascii="Times New Roman" w:hAnsi="Times New Roman" w:cs="Times New Roman"/>
          <w:b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г) обоснование присвоения наименования (переименования) элементу планировочной структуры в</w:t>
      </w:r>
      <w:r w:rsidRPr="009D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94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064F01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а) какие важные для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Нижнеташлинский сельсовет</w:t>
      </w:r>
      <w:r w:rsidRPr="00064F0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события на территории, на которой расположен элемент планировочной структуры, отражает предполагаемое его наименование;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 </w:t>
      </w:r>
      <w:r w:rsidRPr="00064F01">
        <w:rPr>
          <w:rFonts w:ascii="Times New Roman" w:hAnsi="Times New Roman" w:cs="Times New Roman"/>
          <w:sz w:val="28"/>
          <w:szCs w:val="28"/>
        </w:rPr>
        <w:t xml:space="preserve"> внесли лица, чью память </w:t>
      </w:r>
      <w:r w:rsidRPr="00064F01">
        <w:rPr>
          <w:rFonts w:ascii="Times New Roman" w:hAnsi="Times New Roman" w:cs="Times New Roman"/>
          <w:sz w:val="28"/>
          <w:szCs w:val="28"/>
        </w:rPr>
        <w:lastRenderedPageBreak/>
        <w:t>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5DFB" w:rsidRPr="00064F01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5DFB" w:rsidRPr="00064F01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(о переименовании элементов планировочной структуры) рассматриваются в соответствии с Регламентом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B436E5" w:rsidRDefault="00B436E5"/>
    <w:sectPr w:rsidR="00B436E5" w:rsidSect="0060062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7B5DFB"/>
    <w:rsid w:val="007B5DFB"/>
    <w:rsid w:val="009A2DCC"/>
    <w:rsid w:val="00B4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B5DFB"/>
    <w:pPr>
      <w:ind w:left="708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B5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2" Type="http://schemas.openxmlformats.org/officeDocument/2006/relationships/hyperlink" Target="consultantplus://offline/ref=EDEEF186622448285741DC196C4F1D8534C0B68D1743FABC93925D2771291FF7512D3EE164962E772C6F682F6333Y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EEF186622448285741DD17794F1D8535CDB28C1246FABC93925D2771291FF7512D3EE164962E772C6F682F6333YBI" TargetMode="External"/><Relationship Id="rId5" Type="http://schemas.openxmlformats.org/officeDocument/2006/relationships/hyperlink" Target="http://ntashly.sharan-sovet.ru" TargetMode="External"/><Relationship Id="rId10" Type="http://schemas.openxmlformats.org/officeDocument/2006/relationships/hyperlink" Target="consultantplus://offline/ref=EDEEF186622448285741DD17794F1D8535CDB28C1241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4C1B7891A17ADBEC2C75322797945E755646AEA7B9034692A716832Y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4B92-BF6D-4039-BA23-1497BACE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2020-08-31T12:18:00Z</cp:lastPrinted>
  <dcterms:created xsi:type="dcterms:W3CDTF">2020-08-31T12:06:00Z</dcterms:created>
  <dcterms:modified xsi:type="dcterms:W3CDTF">2020-08-31T12:19:00Z</dcterms:modified>
</cp:coreProperties>
</file>