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4225"/>
      </w:tblGrid>
      <w:tr w:rsidR="00C909A6" w:rsidRPr="00B14003" w:rsidTr="00D135DD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,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БАШКОРТОСТАН РЕСПУБЛИКАҺЫ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ШАРАН РАЙОНЫ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МУНИЦИПАЛЬ РАЙОНЫ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ТУБЭНГЕ ТАШЛЫ АУЫЛ СОВЕТЫ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АУЫЛ БИЛӘМӘҺЕ СОВЕТЫ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452645, Шаран районы, 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Тубэнге Ташлы ауылы, Жину урамы, 20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Тел.(34769) 2-51-49, факс (34769) 2-51-49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 w:bidi="ru-RU"/>
              </w:rPr>
              <w:t>E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 w:bidi="ru-RU"/>
              </w:rPr>
              <w:t>mail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: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 w:bidi="ru-RU"/>
              </w:rPr>
              <w:t>ntashss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@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 w:bidi="ru-RU"/>
              </w:rPr>
              <w:t>yandex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.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 w:bidi="ru-RU"/>
              </w:rPr>
              <w:t>ru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, </w:t>
            </w:r>
            <w:hyperlink r:id="rId5" w:history="1"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 w:bidi="ru-RU"/>
                </w:rPr>
                <w:t>http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 w:bidi="ru-RU"/>
                </w:rPr>
                <w:t>://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 w:bidi="ru-RU"/>
                </w:rPr>
                <w:t>ntashly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 w:bidi="ru-RU"/>
                </w:rPr>
                <w:t>.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 w:bidi="ru-RU"/>
                </w:rPr>
                <w:t>sharan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 w:bidi="ru-RU"/>
                </w:rPr>
                <w:t>-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 w:bidi="ru-RU"/>
                </w:rPr>
                <w:t>sovet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 w:bidi="ru-RU"/>
                </w:rPr>
                <w:t>.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 w:bidi="ru-RU"/>
                </w:rPr>
                <w:t>ru</w:t>
              </w:r>
            </w:hyperlink>
          </w:p>
          <w:p w:rsidR="00C909A6" w:rsidRPr="00B14003" w:rsidRDefault="00C909A6" w:rsidP="00D135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ИНН 0251000</w:t>
            </w:r>
            <w:r w:rsidRPr="00B1400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863</w:t>
            </w:r>
            <w:r w:rsidRPr="00B1400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, ОГРН </w:t>
            </w:r>
            <w:r w:rsidRPr="00B1400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1020200612805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 wp14:anchorId="5AED3215" wp14:editId="58A7287E">
                  <wp:extent cx="800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РЕСПУБЛИКА БАШКОРТОСТАН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МУНИЦИПАЛЬНЫЙ РАЙОН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ШАРАНСКИЙ РАЙОН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СОВЕТ СЕЛЬСКОГО ПОСЕЛЕНИЯ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  <w:t>НИЖНЕТАШЛИН</w:t>
            </w:r>
            <w:r w:rsidRPr="00B1400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СКИЙ СЕЛЬСОВЕТ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45264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5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, Шаранский район, 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с.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Нижние Ташлы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, 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ул.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Победы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, 2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0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Тел.(34769) 2-5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1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-4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9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, факс (34769) 2-5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1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-4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9</w:t>
            </w:r>
          </w:p>
          <w:p w:rsidR="00C909A6" w:rsidRPr="00B14003" w:rsidRDefault="00C909A6" w:rsidP="00D135D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 w:bidi="ru-RU"/>
              </w:rPr>
              <w:t>E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-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 w:bidi="ru-RU"/>
              </w:rPr>
              <w:t>mail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: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 w:bidi="ru-RU"/>
              </w:rPr>
              <w:t>ntashss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@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 w:bidi="ru-RU"/>
              </w:rPr>
              <w:t>yandex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>.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 w:bidi="ru-RU"/>
              </w:rPr>
              <w:t>ru</w:t>
            </w:r>
            <w:r w:rsidRPr="00B1400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 w:bidi="ru-RU"/>
              </w:rPr>
              <w:t xml:space="preserve">, </w:t>
            </w:r>
            <w:hyperlink r:id="rId7" w:history="1"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 w:bidi="ru-RU"/>
                </w:rPr>
                <w:t>http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 w:eastAsia="ru-RU" w:bidi="ru-RU"/>
                </w:rPr>
                <w:t>://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 w:bidi="ru-RU"/>
                </w:rPr>
                <w:t>ntashly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 w:eastAsia="ru-RU" w:bidi="ru-RU"/>
                </w:rPr>
                <w:t>.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 w:bidi="ru-RU"/>
                </w:rPr>
                <w:t>sharan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 w:eastAsia="ru-RU" w:bidi="ru-RU"/>
                </w:rPr>
                <w:t>-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 w:bidi="ru-RU"/>
                </w:rPr>
                <w:t>sovet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 w:eastAsia="ru-RU" w:bidi="ru-RU"/>
                </w:rPr>
                <w:t>.</w:t>
              </w:r>
              <w:r w:rsidRPr="00B1400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 w:bidi="ru-RU"/>
                </w:rPr>
                <w:t>ru</w:t>
              </w:r>
            </w:hyperlink>
          </w:p>
          <w:p w:rsidR="00C909A6" w:rsidRPr="00B14003" w:rsidRDefault="00C909A6" w:rsidP="00D135D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1400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ИНН 0251000</w:t>
            </w:r>
            <w:r w:rsidRPr="00B1400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863</w:t>
            </w:r>
            <w:r w:rsidRPr="00B1400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, ОГРН </w:t>
            </w:r>
            <w:r w:rsidRPr="00B1400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1020200612805</w:t>
            </w:r>
          </w:p>
        </w:tc>
      </w:tr>
    </w:tbl>
    <w:p w:rsidR="00C909A6" w:rsidRPr="00A41019" w:rsidRDefault="00C909A6" w:rsidP="00C90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410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ҠАРАР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</w:t>
      </w:r>
      <w:r w:rsidRPr="00A410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РЕШЕНИЕ</w:t>
      </w:r>
    </w:p>
    <w:p w:rsidR="00C909A6" w:rsidRPr="00B14003" w:rsidRDefault="00C909A6" w:rsidP="00C909A6">
      <w:pPr>
        <w:suppressAutoHyphens/>
        <w:spacing w:after="0" w:line="240" w:lineRule="auto"/>
        <w:jc w:val="center"/>
        <w:rPr>
          <w:rFonts w:ascii="a_Helver Bashkir" w:eastAsia="Times New Roman" w:hAnsi="a_Helver Bashkir" w:cs="Times New Roman"/>
          <w:b/>
          <w:bCs/>
          <w:sz w:val="28"/>
          <w:szCs w:val="28"/>
          <w:lang w:val="be-BY" w:eastAsia="ar-SA"/>
        </w:rPr>
      </w:pPr>
      <w:r w:rsidRPr="00A41019">
        <w:rPr>
          <w:rFonts w:ascii="a_Helver Bashkir" w:eastAsia="Times New Roman" w:hAnsi="a_Helver Bashkir" w:cs="Times New Roman"/>
          <w:b/>
          <w:bCs/>
          <w:sz w:val="28"/>
          <w:szCs w:val="28"/>
          <w:lang w:val="be-BY" w:eastAsia="ar-SA"/>
        </w:rPr>
        <w:t xml:space="preserve"> 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909A6" w:rsidRPr="00A41019" w:rsidRDefault="00C909A6" w:rsidP="00C909A6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 порядке списания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Нижнеташлинский 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</w:p>
    <w:p w:rsidR="00C909A6" w:rsidRPr="00A41019" w:rsidRDefault="00C909A6" w:rsidP="00C909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9A6" w:rsidRPr="00A41019" w:rsidRDefault="00C909A6" w:rsidP="00C90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 от 06.10.2003 года  № 131-ФЗ «Об общих принципах организации местного самоуправления в Российской Федерации», постановлением Правительства Республики Башкортостан от 17.02.2020 года № 86 «Об утверждении Положения о порядке списания государственного имущества Республики Башкортостан  и признании утратившими силу некоторых решений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Башкортостан»,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целях 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Нижнеташлинский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Шаранский 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 Республики Башкортостан,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</w:t>
      </w:r>
    </w:p>
    <w:p w:rsidR="00C909A6" w:rsidRPr="00A41019" w:rsidRDefault="00C909A6" w:rsidP="00C909A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9A6" w:rsidRPr="00A41019" w:rsidRDefault="00C909A6" w:rsidP="00C909A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 :</w:t>
      </w:r>
    </w:p>
    <w:p w:rsidR="00C909A6" w:rsidRPr="00B14003" w:rsidRDefault="00C909A6" w:rsidP="00C909A6">
      <w:pPr>
        <w:numPr>
          <w:ilvl w:val="0"/>
          <w:numId w:val="1"/>
        </w:numPr>
        <w:tabs>
          <w:tab w:val="left" w:pos="0"/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Положение о порядке списания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к настоящему решению.</w:t>
      </w:r>
    </w:p>
    <w:p w:rsidR="00C909A6" w:rsidRPr="00A41019" w:rsidRDefault="00C909A6" w:rsidP="00C909A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настоящее решение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и разместить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http://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ntashly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>.ru/.</w:t>
      </w:r>
    </w:p>
    <w:p w:rsidR="00C909A6" w:rsidRPr="00A41019" w:rsidRDefault="00C909A6" w:rsidP="00C909A6">
      <w:pPr>
        <w:numPr>
          <w:ilvl w:val="0"/>
          <w:numId w:val="1"/>
        </w:numPr>
        <w:tabs>
          <w:tab w:val="left" w:pos="0"/>
          <w:tab w:val="num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вступает в силу со дня его принятия.</w:t>
      </w:r>
    </w:p>
    <w:p w:rsidR="00C909A6" w:rsidRPr="00B14003" w:rsidRDefault="00C909A6" w:rsidP="00C909A6">
      <w:pPr>
        <w:numPr>
          <w:ilvl w:val="0"/>
          <w:numId w:val="1"/>
        </w:numPr>
        <w:tabs>
          <w:tab w:val="left" w:pos="0"/>
          <w:tab w:val="num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Контроль за исполнением настоящего решения возложить на постоянную комиссию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Нижнеташлин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района Шаранский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по бюджету, налогам и вопро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 собственности.</w:t>
      </w:r>
    </w:p>
    <w:p w:rsidR="00C909A6" w:rsidRPr="00A41019" w:rsidRDefault="00C909A6" w:rsidP="00C90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C909A6" w:rsidRPr="00A41019" w:rsidRDefault="00C909A6" w:rsidP="00C90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C909A6" w:rsidRPr="00A41019" w:rsidRDefault="00C909A6" w:rsidP="00C90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C909A6" w:rsidRPr="00A41019" w:rsidRDefault="00C909A6" w:rsidP="00C90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</w:t>
      </w: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C909A6" w:rsidRPr="00A41019" w:rsidRDefault="00C909A6" w:rsidP="00C90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Г.С.Гарифуллина</w:t>
      </w:r>
    </w:p>
    <w:p w:rsidR="00C909A6" w:rsidRDefault="00C909A6" w:rsidP="00C90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9A6" w:rsidRPr="00943CD1" w:rsidRDefault="00C909A6" w:rsidP="00C90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CD1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с.Нижние Ташлы</w:t>
      </w:r>
    </w:p>
    <w:p w:rsidR="00C909A6" w:rsidRPr="00943CD1" w:rsidRDefault="00C909A6" w:rsidP="00C909A6">
      <w:pPr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CD1">
        <w:rPr>
          <w:rFonts w:ascii="Times New Roman" w:eastAsia="Times New Roman" w:hAnsi="Times New Roman" w:cs="Times New Roman"/>
          <w:sz w:val="24"/>
          <w:szCs w:val="24"/>
          <w:lang w:eastAsia="ar-SA"/>
        </w:rPr>
        <w:t>03 ноября 2020 г.</w:t>
      </w:r>
    </w:p>
    <w:p w:rsidR="00C909A6" w:rsidRPr="00943CD1" w:rsidRDefault="00C909A6" w:rsidP="00C909A6">
      <w:pPr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17/125</w:t>
      </w:r>
    </w:p>
    <w:p w:rsidR="00C909A6" w:rsidRPr="00A41019" w:rsidRDefault="00C909A6" w:rsidP="00C90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Нижнеташлинский </w:t>
      </w:r>
      <w:r w:rsidRPr="00A4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ноября</w:t>
      </w:r>
      <w:r w:rsidRPr="00A4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17/125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1"/>
      <w:bookmarkEnd w:id="0"/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списания муниципального имущества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порядок списания движимого и недвижимого имущества, находящегося в собственности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Нижнеташлинский 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льсовет муниципального района 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Основные понятия, применяемые в настоящем Положении: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учредитель –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ельсовет муниципального района Шаранский 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 (далее – учредитель или администрация), осуществляющая функции и полномочия учредителя в отношении муниципального учреждения, муниципального и казенного предприятия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принятия решений о списании имущества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46"/>
      <w:bookmarkEnd w:id="1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Решение о списании имущества принимается в случаях, если: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нецелесообразно;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49"/>
      <w:bookmarkEnd w:id="2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50"/>
      <w:bookmarkEnd w:id="3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с учетом стоимости его единицы в следующем порядке: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 балансовой стоимостью свыше 50 тыс. рублей до 100 тыс. рублей - указанными учреждениями и предприятиями по согласованию с их учредителем;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движимого имущества балансовой стоимостью свыше 100 тыс. рублей - указанными учреждениями и предприятиями по согласованию с Советом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- Совет).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54"/>
      <w:bookmarkEnd w:id="4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с учетом стоимости его единицы в следующем порядке: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 балансовой стоимостью до 100 тыс. рублей - указанными учреждениями по согласованию с их учредителем;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 балансовой стоимостью свыше 100 тыс. рублей - указанными учреждениями по согласованию с Советом.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 5 дней после списания.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58"/>
      <w:bookmarkEnd w:id="5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Решение о списании недвижимого имущества, закрепленного на праве 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Советом.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Советом.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Решение о списании имущества, составляющего казну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свободного от прав третьих лиц, принимается администрацией в следующем порядке: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 балансовой стоимостью до 100 тыс. рублей - самостоятельно;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61"/>
      <w:bookmarkEnd w:id="6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Решение о списании имущества, составляющего казну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ринимается этими организациями 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 балансовой стоимостью до 100 тыс. рублей -  по согласованию с администрацией;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списания имущества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компетенцию комиссии входит: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на списание имущества утверждается руководителем организации.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Разборка и демонтаж имущества, указанного в </w:t>
      </w:r>
      <w:hyperlink r:id="rId8" w:anchor="P50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пунктах 2.2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anchor="P54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2.3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anchor="P58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2.6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11" w:anchor="P61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2.9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до согласования его списания не допускаются.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Разборка, демонтаж и транспортировка в отношении: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списываемого недвижимого имущества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Республики Башкортостан осуществляется за счет средств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Нижнеташлинский 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списываемого движимого имущества казны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осуществляется за счет средств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Детали и узлы, изготовленные с применением драгоценных металлов, из цветных металлов и не используемые для ремонта других машин, инструментов, приборов и оборудования, подлежат сдаче аффинажным организациям и организациям, занимающимся сбором лома цветных металлов.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80"/>
      <w:bookmarkEnd w:id="7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согласования списания имущества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85"/>
      <w:bookmarkEnd w:id="8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Организации, указанные в </w:t>
      </w:r>
      <w:hyperlink r:id="rId12" w:anchor="P50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пунктах 2.2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13" w:anchor="P61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2.9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для согласования актов о списании объектов основных средств, представляют в комитет по управлению собственностью Министерства земельных и имущественных отношений Республики Башкортостан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Шаранскому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(далее - территориальный орган Минземимущества Республики Башкортостан), действующий в рамках Соглашения о взаимодействии территориального органа Минземимущества Республики Башкортостан с 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 вопросам управления и распоряжения муниципальным имуществом следующие документы: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о согласовании списания объектов основных средств;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заполненные в установленном порядке: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списании объекта основных средств, согласованный собственником имущества (оригинал, 2 экземпляра), а также решение собственника о согласовании списания имущества в зависимости от стоимостной градации и вида имущества согласно п.2.2;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91"/>
      <w:bookmarkEnd w:id="9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техническую документацию на объект недвижимости;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копию паспорта транспортного средства;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93"/>
      <w:bookmarkEnd w:id="10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выписку из Единого государственного реестра недвижимости об объекте недвижимого имущества;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P96"/>
      <w:bookmarkEnd w:id="11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муниципальном районе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Республике Башкортостан;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P97"/>
      <w:bookmarkEnd w:id="12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к) заключение специализированной организации о техническом состоянии объекта основных средств с фотоматериалами для идентификации основного средства(срок действия заключения - 6 месяцев с момента выдачи заключения на момент обращения о согласовании списания);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r:id="rId14" w:anchor="P49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подпункта "в" пункта 2.1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Положения).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причинах, вызвавших аварию, а также о мерах, принятых в отношении виновных лиц;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Обращения организаций о согласовании актов о списании 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рассматриваются территориальным органом Минземимущества Республики Башкортостан в течение 30 дней.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P103"/>
      <w:bookmarkEnd w:id="13"/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Обращения организаций о согласовании списания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рассматриваются администрацией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 По итогам рассмотрения указанных обращений, администрация готовит проекты муниципальных нормативно-правовых актов в установленном порядке.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согласовании списания имущества либо о мотивированном отказе в этом принимается в зависимости от стоимостной градации и вида имущества согласно п.2.2: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движимого имущества балансовой стоимостью до 100,0 тыс. рублей – администрацией;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недвижимого имущества, а также движимого имущества балансовой стоимостью свыше 100,0 тыс. рублей - Советом.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Решение об отказе в согласовании списания имущества принимается в следующих случаях: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(представление не в полном объеме) документов, указанных в </w:t>
      </w:r>
      <w:hyperlink r:id="rId15" w:anchor="P85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пункте 4.1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 (за исключением документов, указанных в </w:t>
      </w:r>
      <w:hyperlink r:id="rId16" w:anchor="P91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 xml:space="preserve">подпунктах </w:t>
        </w:r>
      </w:hyperlink>
      <w:hyperlink r:id="rId17" w:anchor="P93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"е"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8" w:anchor="P96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"ж" пункта 4.1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в случае непредставления территориальный орган Минземимущества Республики Башкортостан запрашивает в порядке межведомственного взаимодействия самостоятельно);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истечение срока действия заключения, указанного в </w:t>
      </w:r>
      <w:hyperlink r:id="rId19" w:anchor="P97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подпункте "к" пункта 4.1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r:id="rId20" w:anchor="P46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пунктом 2.1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представленных документах выявлено разночтение  сведений, идентифицирующих объект основного средства  с фактическим наличием (согласно представленным фотоматериалам);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документы содержат информацию о наличии обстоятельств, предусмотренных </w:t>
      </w:r>
      <w:hyperlink r:id="rId21" w:anchor="P80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пунктом 3.4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является объектом культурного наследия или объектом гражданской обороны;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наличие потребности в данном имуществе у муниципальных  органов власти Республики Башкортостан, муниципальных предприятий, муниципальных учреждений и казенных предприятий.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Уведомление о согласовании или отказе в согласовании актов о списании имущества направляется территориальным органом Минземимущества Республики Башкортостан обратившимся организациям в письменном виде по указанному в обращении адресу в течение указанного в </w:t>
      </w:r>
      <w:hyperlink r:id="rId22" w:anchor="P103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пункте 4.1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 срока рассмотрения обращения.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Лица, виновные в уничтожении или повреждении муниципального имущества 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Шаранский 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Башкортостан, несут ответственность в порядке, установленном законодательством.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Суммы, поступившие в возмещение ущерба, причиненного муниципальному  имуществу 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 вследствие действия (бездействия) или принятого решения виновных лиц, перечисляются в бюджет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Башкортостан.</w:t>
      </w:r>
    </w:p>
    <w:p w:rsidR="00C909A6" w:rsidRPr="00A41019" w:rsidRDefault="00C909A6" w:rsidP="00C909A6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мазы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в месячный срок представляют в территориальный орган Минземимущества Республики Башкортостан обновленные сведения в Реестр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соответствии с </w:t>
      </w:r>
      <w:hyperlink r:id="rId23" w:history="1">
        <w:r w:rsidRPr="00A4101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Порядком</w:t>
        </w:r>
      </w:hyperlink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ведения органами местного самоуправления Реестра муниципального имущества, утвержденным Приказом Министерства экономического развития Российской Федерации  от 30.08.2011 года № 424 (с последующими изменениями).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Заключительные положения</w:t>
      </w: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9A6" w:rsidRPr="00A41019" w:rsidRDefault="00C909A6" w:rsidP="00C90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При списании отдельных видов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C909A6" w:rsidRPr="00A41019" w:rsidRDefault="00C909A6" w:rsidP="00C909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1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C909A6" w:rsidRDefault="00C909A6" w:rsidP="00C909A6"/>
    <w:p w:rsidR="00C909A6" w:rsidRDefault="00C909A6" w:rsidP="00C909A6"/>
    <w:p w:rsidR="0003731A" w:rsidRDefault="0003731A">
      <w:bookmarkStart w:id="14" w:name="_GoBack"/>
      <w:bookmarkEnd w:id="14"/>
    </w:p>
    <w:sectPr w:rsidR="0003731A" w:rsidSect="005A3674">
      <w:pgSz w:w="11906" w:h="16838"/>
      <w:pgMar w:top="709" w:right="73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A6"/>
    <w:rsid w:val="0003731A"/>
    <w:rsid w:val="00C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AA1E6-4F8D-4F40-B0B3-FD75BFBD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3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8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7" Type="http://schemas.openxmlformats.org/officeDocument/2006/relationships/hyperlink" Target="http://ntashly.sharan-sovet.ru" TargetMode="External"/><Relationship Id="rId12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7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0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tashly.sharan-sovet.ru" TargetMode="External"/><Relationship Id="rId15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3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10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9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4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2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3329</Words>
  <Characters>18980</Characters>
  <Application>Microsoft Office Word</Application>
  <DocSecurity>0</DocSecurity>
  <Lines>158</Lines>
  <Paragraphs>44</Paragraphs>
  <ScaleCrop>false</ScaleCrop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2020-11-06T09:08:00Z</dcterms:created>
  <dcterms:modified xsi:type="dcterms:W3CDTF">2020-11-06T09:09:00Z</dcterms:modified>
</cp:coreProperties>
</file>