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4833"/>
      </w:tblGrid>
      <w:tr w:rsidR="009717CE" w:rsidRPr="009717CE" w:rsidTr="002D0525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17CE" w:rsidRPr="009717CE" w:rsidRDefault="009717CE" w:rsidP="009717CE">
            <w:pPr>
              <w:jc w:val="center"/>
              <w:rPr>
                <w:b/>
                <w:sz w:val="16"/>
                <w:szCs w:val="16"/>
              </w:rPr>
            </w:pPr>
            <w:r w:rsidRPr="009717CE">
              <w:rPr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9717CE">
              <w:rPr>
                <w:b/>
                <w:sz w:val="16"/>
                <w:szCs w:val="16"/>
              </w:rPr>
              <w:t>Республика</w:t>
            </w:r>
            <w:r w:rsidRPr="009717CE">
              <w:rPr>
                <w:b/>
                <w:iCs/>
                <w:sz w:val="16"/>
                <w:szCs w:val="16"/>
              </w:rPr>
              <w:t>һ</w:t>
            </w:r>
            <w:r w:rsidRPr="009717CE">
              <w:rPr>
                <w:b/>
                <w:sz w:val="16"/>
                <w:szCs w:val="16"/>
              </w:rPr>
              <w:t>ының</w:t>
            </w:r>
            <w:proofErr w:type="spellEnd"/>
          </w:p>
          <w:p w:rsidR="009717CE" w:rsidRPr="009717CE" w:rsidRDefault="009717CE" w:rsidP="009717CE">
            <w:pPr>
              <w:jc w:val="center"/>
              <w:rPr>
                <w:b/>
                <w:sz w:val="16"/>
                <w:szCs w:val="16"/>
              </w:rPr>
            </w:pPr>
            <w:r w:rsidRPr="009717CE">
              <w:rPr>
                <w:b/>
                <w:sz w:val="16"/>
                <w:szCs w:val="16"/>
              </w:rPr>
              <w:t>Шаран районы</w:t>
            </w:r>
          </w:p>
          <w:p w:rsidR="009717CE" w:rsidRPr="009717CE" w:rsidRDefault="009717CE" w:rsidP="009717C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717CE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9717C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717CE">
              <w:rPr>
                <w:b/>
                <w:sz w:val="16"/>
                <w:szCs w:val="16"/>
              </w:rPr>
              <w:t>районының</w:t>
            </w:r>
            <w:proofErr w:type="spellEnd"/>
          </w:p>
          <w:p w:rsidR="009717CE" w:rsidRPr="009717CE" w:rsidRDefault="009717CE" w:rsidP="009717CE">
            <w:pPr>
              <w:jc w:val="center"/>
              <w:rPr>
                <w:b/>
                <w:sz w:val="16"/>
                <w:szCs w:val="16"/>
              </w:rPr>
            </w:pPr>
            <w:r w:rsidRPr="009717CE">
              <w:rPr>
                <w:b/>
                <w:sz w:val="16"/>
                <w:szCs w:val="16"/>
                <w:lang w:val="be-BY"/>
              </w:rPr>
              <w:t>Тубэнге Ташлы</w:t>
            </w:r>
            <w:r w:rsidRPr="009717CE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9717CE">
              <w:rPr>
                <w:b/>
                <w:sz w:val="16"/>
                <w:szCs w:val="16"/>
              </w:rPr>
              <w:t>ауыл</w:t>
            </w:r>
            <w:proofErr w:type="spellEnd"/>
            <w:r w:rsidRPr="009717CE">
              <w:rPr>
                <w:b/>
                <w:sz w:val="16"/>
                <w:szCs w:val="16"/>
              </w:rPr>
              <w:t xml:space="preserve"> Советы</w:t>
            </w:r>
          </w:p>
          <w:p w:rsidR="009717CE" w:rsidRPr="009717CE" w:rsidRDefault="009717CE" w:rsidP="009717CE">
            <w:pPr>
              <w:keepNext/>
              <w:ind w:left="74"/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9717CE">
              <w:rPr>
                <w:b/>
                <w:sz w:val="16"/>
                <w:szCs w:val="16"/>
              </w:rPr>
              <w:t>ауыл</w:t>
            </w:r>
            <w:proofErr w:type="spellEnd"/>
            <w:r w:rsidRPr="009717C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717CE">
              <w:rPr>
                <w:b/>
                <w:iCs/>
                <w:sz w:val="16"/>
                <w:szCs w:val="16"/>
              </w:rPr>
              <w:t>билә</w:t>
            </w:r>
            <w:proofErr w:type="gramStart"/>
            <w:r w:rsidRPr="009717CE">
              <w:rPr>
                <w:b/>
                <w:iCs/>
                <w:sz w:val="16"/>
                <w:szCs w:val="16"/>
              </w:rPr>
              <w:t>м</w:t>
            </w:r>
            <w:proofErr w:type="gramEnd"/>
            <w:r w:rsidRPr="009717CE">
              <w:rPr>
                <w:b/>
                <w:iCs/>
                <w:sz w:val="16"/>
                <w:szCs w:val="16"/>
              </w:rPr>
              <w:t>әһе</w:t>
            </w:r>
            <w:proofErr w:type="spellEnd"/>
            <w:r w:rsidRPr="009717C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717CE">
              <w:rPr>
                <w:b/>
                <w:sz w:val="16"/>
                <w:szCs w:val="16"/>
              </w:rPr>
              <w:t>Хакимиәте</w:t>
            </w:r>
            <w:proofErr w:type="spellEnd"/>
          </w:p>
          <w:p w:rsidR="009717CE" w:rsidRPr="009717CE" w:rsidRDefault="009717CE" w:rsidP="009717CE">
            <w:pPr>
              <w:jc w:val="center"/>
              <w:rPr>
                <w:b/>
                <w:sz w:val="16"/>
                <w:szCs w:val="16"/>
              </w:rPr>
            </w:pPr>
            <w:r w:rsidRPr="009717CE">
              <w:rPr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9717CE">
              <w:rPr>
                <w:b/>
                <w:sz w:val="16"/>
                <w:szCs w:val="16"/>
              </w:rPr>
              <w:t>Республика</w:t>
            </w:r>
            <w:r w:rsidRPr="009717CE">
              <w:rPr>
                <w:b/>
                <w:iCs/>
                <w:sz w:val="16"/>
                <w:szCs w:val="16"/>
              </w:rPr>
              <w:t>һ</w:t>
            </w:r>
            <w:r w:rsidRPr="009717CE">
              <w:rPr>
                <w:b/>
                <w:sz w:val="16"/>
                <w:szCs w:val="16"/>
              </w:rPr>
              <w:t>ының</w:t>
            </w:r>
            <w:proofErr w:type="spellEnd"/>
          </w:p>
          <w:p w:rsidR="009717CE" w:rsidRPr="009717CE" w:rsidRDefault="009717CE" w:rsidP="009717CE">
            <w:pPr>
              <w:ind w:left="214" w:hanging="214"/>
              <w:jc w:val="center"/>
              <w:rPr>
                <w:b/>
                <w:sz w:val="16"/>
                <w:szCs w:val="16"/>
              </w:rPr>
            </w:pPr>
            <w:r w:rsidRPr="009717CE">
              <w:rPr>
                <w:b/>
                <w:sz w:val="16"/>
                <w:szCs w:val="16"/>
              </w:rPr>
              <w:t xml:space="preserve">Шаран районы </w:t>
            </w:r>
            <w:r w:rsidRPr="009717CE">
              <w:rPr>
                <w:b/>
                <w:sz w:val="16"/>
                <w:szCs w:val="16"/>
                <w:lang w:val="be-BY"/>
              </w:rPr>
              <w:t>Тубэнге Ташлы</w:t>
            </w:r>
            <w:r w:rsidRPr="009717CE">
              <w:rPr>
                <w:b/>
                <w:sz w:val="16"/>
                <w:szCs w:val="16"/>
              </w:rPr>
              <w:t xml:space="preserve">    </w:t>
            </w:r>
            <w:proofErr w:type="spellStart"/>
            <w:r w:rsidRPr="009717CE">
              <w:rPr>
                <w:b/>
                <w:sz w:val="16"/>
                <w:szCs w:val="16"/>
              </w:rPr>
              <w:t>ауыл</w:t>
            </w:r>
            <w:proofErr w:type="spellEnd"/>
            <w:r w:rsidRPr="009717CE">
              <w:rPr>
                <w:b/>
                <w:sz w:val="16"/>
                <w:szCs w:val="16"/>
              </w:rPr>
              <w:t xml:space="preserve"> Советы</w:t>
            </w:r>
          </w:p>
          <w:p w:rsidR="009717CE" w:rsidRPr="009717CE" w:rsidRDefault="009717CE" w:rsidP="009717C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</w:rPr>
            </w:pPr>
            <w:r w:rsidRPr="009717CE">
              <w:rPr>
                <w:bCs/>
                <w:sz w:val="16"/>
                <w:szCs w:val="16"/>
                <w:lang w:val="be-BY"/>
              </w:rPr>
              <w:t xml:space="preserve">Жину </w:t>
            </w:r>
            <w:r w:rsidRPr="009717C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717CE">
              <w:rPr>
                <w:bCs/>
                <w:sz w:val="16"/>
                <w:szCs w:val="16"/>
              </w:rPr>
              <w:t>урамы</w:t>
            </w:r>
            <w:proofErr w:type="spellEnd"/>
            <w:r w:rsidRPr="009717CE">
              <w:rPr>
                <w:bCs/>
                <w:sz w:val="16"/>
                <w:szCs w:val="16"/>
              </w:rPr>
              <w:t xml:space="preserve">, </w:t>
            </w:r>
            <w:r w:rsidRPr="009717CE">
              <w:rPr>
                <w:bCs/>
                <w:sz w:val="16"/>
                <w:szCs w:val="16"/>
                <w:lang w:val="be-BY"/>
              </w:rPr>
              <w:t>20</w:t>
            </w:r>
            <w:r w:rsidRPr="009717CE">
              <w:rPr>
                <w:bCs/>
                <w:sz w:val="16"/>
                <w:szCs w:val="16"/>
              </w:rPr>
              <w:t xml:space="preserve">, </w:t>
            </w:r>
            <w:r w:rsidRPr="009717CE">
              <w:rPr>
                <w:bCs/>
                <w:sz w:val="16"/>
                <w:szCs w:val="16"/>
                <w:lang w:val="be-BY"/>
              </w:rPr>
              <w:t>Тубэнге Ташлы</w:t>
            </w:r>
            <w:r w:rsidRPr="009717CE">
              <w:rPr>
                <w:bCs/>
                <w:sz w:val="16"/>
                <w:szCs w:val="16"/>
              </w:rPr>
              <w:t xml:space="preserve"> аулы Шаран районы</w:t>
            </w:r>
            <w:r w:rsidRPr="009717CE">
              <w:rPr>
                <w:b/>
                <w:sz w:val="16"/>
                <w:szCs w:val="16"/>
              </w:rPr>
              <w:t xml:space="preserve"> </w:t>
            </w:r>
            <w:r w:rsidRPr="009717CE">
              <w:rPr>
                <w:sz w:val="16"/>
                <w:szCs w:val="16"/>
              </w:rPr>
              <w:t xml:space="preserve">Башкортостан </w:t>
            </w:r>
            <w:proofErr w:type="spellStart"/>
            <w:r w:rsidRPr="009717CE">
              <w:rPr>
                <w:sz w:val="16"/>
                <w:szCs w:val="16"/>
              </w:rPr>
              <w:t>Республика</w:t>
            </w:r>
            <w:r w:rsidRPr="009717CE">
              <w:rPr>
                <w:iCs/>
                <w:sz w:val="16"/>
                <w:szCs w:val="16"/>
              </w:rPr>
              <w:t>һ</w:t>
            </w:r>
            <w:r w:rsidRPr="009717CE">
              <w:rPr>
                <w:sz w:val="16"/>
                <w:szCs w:val="16"/>
              </w:rPr>
              <w:t>ының</w:t>
            </w:r>
            <w:proofErr w:type="spellEnd"/>
          </w:p>
          <w:p w:rsidR="009717CE" w:rsidRPr="009717CE" w:rsidRDefault="009717CE" w:rsidP="009717C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9717CE">
              <w:rPr>
                <w:bCs/>
                <w:sz w:val="16"/>
                <w:szCs w:val="16"/>
                <w:lang w:eastAsia="en-US"/>
              </w:rPr>
              <w:t>Тел</w:t>
            </w:r>
            <w:r w:rsidRPr="009717CE">
              <w:rPr>
                <w:bCs/>
                <w:sz w:val="16"/>
                <w:szCs w:val="16"/>
                <w:lang w:val="en-US" w:eastAsia="en-US"/>
              </w:rPr>
              <w:t>./</w:t>
            </w:r>
            <w:r w:rsidRPr="009717CE">
              <w:rPr>
                <w:bCs/>
                <w:sz w:val="16"/>
                <w:szCs w:val="16"/>
                <w:lang w:eastAsia="en-US"/>
              </w:rPr>
              <w:t>факс</w:t>
            </w:r>
            <w:r w:rsidRPr="009717CE">
              <w:rPr>
                <w:bCs/>
                <w:sz w:val="16"/>
                <w:szCs w:val="16"/>
                <w:lang w:val="en-US" w:eastAsia="en-US"/>
              </w:rPr>
              <w:t>(347 69) 2-</w:t>
            </w:r>
            <w:r w:rsidRPr="009717CE">
              <w:rPr>
                <w:bCs/>
                <w:sz w:val="16"/>
                <w:szCs w:val="16"/>
                <w:lang w:val="be-BY" w:eastAsia="en-US"/>
              </w:rPr>
              <w:t>5</w:t>
            </w:r>
            <w:r w:rsidRPr="009717CE">
              <w:rPr>
                <w:bCs/>
                <w:sz w:val="16"/>
                <w:szCs w:val="16"/>
                <w:lang w:val="en-US" w:eastAsia="en-US"/>
              </w:rPr>
              <w:t>1-</w:t>
            </w:r>
            <w:r w:rsidRPr="009717CE">
              <w:rPr>
                <w:bCs/>
                <w:sz w:val="16"/>
                <w:szCs w:val="16"/>
                <w:lang w:val="be-BY" w:eastAsia="en-US"/>
              </w:rPr>
              <w:t>49</w:t>
            </w:r>
            <w:r w:rsidRPr="009717CE">
              <w:rPr>
                <w:bCs/>
                <w:sz w:val="16"/>
                <w:szCs w:val="16"/>
                <w:lang w:val="en-US" w:eastAsia="en-US"/>
              </w:rPr>
              <w:t>,</w:t>
            </w:r>
          </w:p>
          <w:p w:rsidR="009717CE" w:rsidRPr="009717CE" w:rsidRDefault="009717CE" w:rsidP="009717C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9717CE">
              <w:rPr>
                <w:bCs/>
                <w:sz w:val="16"/>
                <w:szCs w:val="16"/>
                <w:lang w:val="en-US" w:eastAsia="en-US"/>
              </w:rPr>
              <w:t>e-mail:</w:t>
            </w:r>
            <w:r w:rsidRPr="009717C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717CE"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9717CE">
              <w:rPr>
                <w:bCs/>
                <w:sz w:val="16"/>
                <w:szCs w:val="16"/>
                <w:lang w:val="en-US" w:eastAsia="en-US"/>
              </w:rPr>
              <w:t xml:space="preserve"> @yandex.ru</w:t>
            </w:r>
          </w:p>
          <w:p w:rsidR="009717CE" w:rsidRPr="009717CE" w:rsidRDefault="009717CE" w:rsidP="00971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hyperlink r:id="rId5" w:history="1">
              <w:r w:rsidRPr="009717CE">
                <w:rPr>
                  <w:bCs/>
                  <w:color w:val="0000FF"/>
                  <w:sz w:val="16"/>
                  <w:szCs w:val="22"/>
                  <w:u w:val="single"/>
                  <w:lang w:val="en-US" w:eastAsia="en-US"/>
                </w:rPr>
                <w:t>http://www.</w:t>
              </w:r>
              <w:r w:rsidRPr="009717CE">
                <w:rPr>
                  <w:sz w:val="16"/>
                  <w:szCs w:val="16"/>
                  <w:lang w:val="en-US"/>
                </w:rPr>
                <w:t xml:space="preserve"> </w:t>
              </w:r>
              <w:r w:rsidRPr="009717CE">
                <w:rPr>
                  <w:bCs/>
                  <w:color w:val="0000FF"/>
                  <w:sz w:val="16"/>
                  <w:szCs w:val="22"/>
                  <w:u w:val="single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17CE" w:rsidRPr="009717CE" w:rsidRDefault="009717CE" w:rsidP="009717CE">
            <w:pPr>
              <w:tabs>
                <w:tab w:val="left" w:pos="639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9717CE">
              <w:rPr>
                <w:noProof/>
                <w:sz w:val="16"/>
                <w:szCs w:val="16"/>
              </w:rPr>
              <w:drawing>
                <wp:inline distT="0" distB="0" distL="0" distR="0" wp14:anchorId="01BCB5B5" wp14:editId="3F9396C7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7CE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17CE" w:rsidRPr="009717CE" w:rsidRDefault="009717CE" w:rsidP="009717CE">
            <w:pPr>
              <w:jc w:val="center"/>
              <w:rPr>
                <w:b/>
                <w:sz w:val="16"/>
                <w:szCs w:val="16"/>
              </w:rPr>
            </w:pPr>
            <w:r w:rsidRPr="009717CE"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9717CE" w:rsidRPr="009717CE" w:rsidRDefault="009717CE" w:rsidP="009717CE">
            <w:pPr>
              <w:jc w:val="center"/>
              <w:rPr>
                <w:b/>
                <w:sz w:val="16"/>
                <w:szCs w:val="16"/>
              </w:rPr>
            </w:pPr>
            <w:r w:rsidRPr="009717CE">
              <w:rPr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9717CE">
              <w:rPr>
                <w:b/>
                <w:sz w:val="16"/>
                <w:szCs w:val="16"/>
              </w:rPr>
              <w:t>ский</w:t>
            </w:r>
            <w:proofErr w:type="spellEnd"/>
            <w:r w:rsidRPr="009717CE">
              <w:rPr>
                <w:b/>
                <w:sz w:val="16"/>
                <w:szCs w:val="16"/>
              </w:rPr>
              <w:t xml:space="preserve">  сельсовет</w:t>
            </w:r>
          </w:p>
          <w:p w:rsidR="009717CE" w:rsidRPr="009717CE" w:rsidRDefault="009717CE" w:rsidP="009717CE">
            <w:pPr>
              <w:jc w:val="center"/>
              <w:rPr>
                <w:b/>
                <w:sz w:val="16"/>
                <w:szCs w:val="16"/>
              </w:rPr>
            </w:pPr>
            <w:r w:rsidRPr="009717CE">
              <w:rPr>
                <w:b/>
                <w:sz w:val="16"/>
                <w:szCs w:val="16"/>
              </w:rPr>
              <w:t>муниципального района</w:t>
            </w:r>
          </w:p>
          <w:p w:rsidR="009717CE" w:rsidRPr="009717CE" w:rsidRDefault="009717CE" w:rsidP="009717C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717CE">
              <w:rPr>
                <w:b/>
                <w:sz w:val="16"/>
                <w:szCs w:val="16"/>
              </w:rPr>
              <w:t>Шаранский</w:t>
            </w:r>
            <w:proofErr w:type="spellEnd"/>
            <w:r w:rsidRPr="009717CE">
              <w:rPr>
                <w:b/>
                <w:sz w:val="16"/>
                <w:szCs w:val="16"/>
              </w:rPr>
              <w:t xml:space="preserve"> район</w:t>
            </w:r>
          </w:p>
          <w:p w:rsidR="009717CE" w:rsidRPr="009717CE" w:rsidRDefault="009717CE" w:rsidP="009717CE">
            <w:pPr>
              <w:jc w:val="center"/>
              <w:rPr>
                <w:b/>
                <w:sz w:val="16"/>
                <w:szCs w:val="16"/>
              </w:rPr>
            </w:pPr>
            <w:r w:rsidRPr="009717CE">
              <w:rPr>
                <w:b/>
                <w:sz w:val="16"/>
                <w:szCs w:val="16"/>
              </w:rPr>
              <w:t>Республики Башкортостан</w:t>
            </w:r>
          </w:p>
          <w:p w:rsidR="009717CE" w:rsidRPr="009717CE" w:rsidRDefault="009717CE" w:rsidP="009717CE">
            <w:pPr>
              <w:jc w:val="center"/>
              <w:rPr>
                <w:b/>
                <w:sz w:val="16"/>
                <w:szCs w:val="16"/>
              </w:rPr>
            </w:pPr>
            <w:r w:rsidRPr="009717CE">
              <w:rPr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9717CE">
              <w:rPr>
                <w:b/>
                <w:sz w:val="16"/>
                <w:szCs w:val="16"/>
              </w:rPr>
              <w:t>ский</w:t>
            </w:r>
            <w:proofErr w:type="spellEnd"/>
            <w:r w:rsidRPr="009717CE">
              <w:rPr>
                <w:b/>
                <w:sz w:val="16"/>
                <w:szCs w:val="16"/>
              </w:rPr>
              <w:t xml:space="preserve"> сельсовет </w:t>
            </w:r>
            <w:proofErr w:type="spellStart"/>
            <w:r w:rsidRPr="009717CE">
              <w:rPr>
                <w:b/>
                <w:sz w:val="16"/>
                <w:szCs w:val="16"/>
              </w:rPr>
              <w:t>Шаранского</w:t>
            </w:r>
            <w:proofErr w:type="spellEnd"/>
            <w:r w:rsidRPr="009717CE">
              <w:rPr>
                <w:b/>
                <w:sz w:val="16"/>
                <w:szCs w:val="16"/>
              </w:rPr>
              <w:t xml:space="preserve"> района </w:t>
            </w:r>
          </w:p>
          <w:p w:rsidR="009717CE" w:rsidRPr="009717CE" w:rsidRDefault="009717CE" w:rsidP="009717CE">
            <w:pPr>
              <w:jc w:val="center"/>
              <w:rPr>
                <w:b/>
                <w:sz w:val="16"/>
                <w:szCs w:val="16"/>
              </w:rPr>
            </w:pPr>
            <w:r w:rsidRPr="009717CE">
              <w:rPr>
                <w:b/>
                <w:sz w:val="16"/>
                <w:szCs w:val="16"/>
              </w:rPr>
              <w:t>Республики Башкортостан</w:t>
            </w:r>
          </w:p>
          <w:p w:rsidR="009717CE" w:rsidRPr="009717CE" w:rsidRDefault="009717CE" w:rsidP="009717C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9717CE">
              <w:rPr>
                <w:bCs/>
                <w:sz w:val="16"/>
                <w:szCs w:val="16"/>
                <w:lang w:eastAsia="en-US"/>
              </w:rPr>
              <w:t xml:space="preserve">ул. </w:t>
            </w:r>
            <w:r w:rsidRPr="009717CE">
              <w:rPr>
                <w:bCs/>
                <w:sz w:val="16"/>
                <w:szCs w:val="16"/>
                <w:lang w:val="be-BY" w:eastAsia="en-US"/>
              </w:rPr>
              <w:t>Победы</w:t>
            </w:r>
            <w:r w:rsidRPr="009717CE">
              <w:rPr>
                <w:bCs/>
                <w:sz w:val="16"/>
                <w:szCs w:val="16"/>
                <w:lang w:eastAsia="en-US"/>
              </w:rPr>
              <w:t>,д.</w:t>
            </w:r>
            <w:r w:rsidRPr="009717CE">
              <w:rPr>
                <w:bCs/>
                <w:sz w:val="16"/>
                <w:szCs w:val="16"/>
                <w:lang w:val="be-BY" w:eastAsia="en-US"/>
              </w:rPr>
              <w:t>20</w:t>
            </w:r>
            <w:r w:rsidRPr="009717CE">
              <w:rPr>
                <w:bCs/>
                <w:sz w:val="16"/>
                <w:szCs w:val="16"/>
                <w:lang w:eastAsia="en-US"/>
              </w:rPr>
              <w:t>, с</w:t>
            </w:r>
            <w:proofErr w:type="gramStart"/>
            <w:r w:rsidRPr="009717CE">
              <w:rPr>
                <w:bCs/>
                <w:sz w:val="16"/>
                <w:szCs w:val="16"/>
                <w:lang w:eastAsia="en-US"/>
              </w:rPr>
              <w:t>.</w:t>
            </w:r>
            <w:r w:rsidRPr="009717CE">
              <w:rPr>
                <w:bCs/>
                <w:sz w:val="16"/>
                <w:szCs w:val="16"/>
                <w:lang w:val="be-BY" w:eastAsia="en-US"/>
              </w:rPr>
              <w:t>Н</w:t>
            </w:r>
            <w:proofErr w:type="gramEnd"/>
            <w:r w:rsidRPr="009717CE">
              <w:rPr>
                <w:bCs/>
                <w:sz w:val="16"/>
                <w:szCs w:val="16"/>
                <w:lang w:val="be-BY" w:eastAsia="en-US"/>
              </w:rPr>
              <w:t>ижние Ташлы</w:t>
            </w:r>
            <w:r w:rsidRPr="009717CE"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717CE">
              <w:rPr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9717CE">
              <w:rPr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9717CE" w:rsidRPr="009717CE" w:rsidRDefault="009717CE" w:rsidP="009717C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9717CE">
              <w:rPr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9717CE" w:rsidRPr="009717CE" w:rsidRDefault="009717CE" w:rsidP="009717C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9717CE">
              <w:rPr>
                <w:bCs/>
                <w:sz w:val="16"/>
                <w:szCs w:val="16"/>
                <w:lang w:eastAsia="en-US"/>
              </w:rPr>
              <w:t>Тел./факс(347 69) 2-</w:t>
            </w:r>
            <w:r w:rsidRPr="009717CE">
              <w:rPr>
                <w:bCs/>
                <w:sz w:val="16"/>
                <w:szCs w:val="16"/>
                <w:lang w:val="be-BY" w:eastAsia="en-US"/>
              </w:rPr>
              <w:t>5</w:t>
            </w:r>
            <w:r w:rsidRPr="009717CE">
              <w:rPr>
                <w:bCs/>
                <w:sz w:val="16"/>
                <w:szCs w:val="16"/>
                <w:lang w:eastAsia="en-US"/>
              </w:rPr>
              <w:t>1-</w:t>
            </w:r>
            <w:r w:rsidRPr="009717CE">
              <w:rPr>
                <w:bCs/>
                <w:sz w:val="16"/>
                <w:szCs w:val="16"/>
                <w:lang w:val="be-BY" w:eastAsia="en-US"/>
              </w:rPr>
              <w:t>49</w:t>
            </w:r>
            <w:r w:rsidRPr="009717CE">
              <w:rPr>
                <w:bCs/>
                <w:sz w:val="16"/>
                <w:szCs w:val="16"/>
                <w:lang w:eastAsia="en-US"/>
              </w:rPr>
              <w:t>,</w:t>
            </w:r>
          </w:p>
          <w:p w:rsidR="009717CE" w:rsidRPr="009717CE" w:rsidRDefault="009717CE" w:rsidP="009717C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9717CE">
              <w:rPr>
                <w:bCs/>
                <w:sz w:val="16"/>
                <w:szCs w:val="16"/>
                <w:lang w:val="en-US" w:eastAsia="en-US"/>
              </w:rPr>
              <w:t>e</w:t>
            </w:r>
            <w:r w:rsidRPr="009717CE">
              <w:rPr>
                <w:bCs/>
                <w:sz w:val="16"/>
                <w:szCs w:val="16"/>
                <w:lang w:eastAsia="en-US"/>
              </w:rPr>
              <w:t>-</w:t>
            </w:r>
            <w:r w:rsidRPr="009717CE">
              <w:rPr>
                <w:bCs/>
                <w:sz w:val="16"/>
                <w:szCs w:val="16"/>
                <w:lang w:val="en-US" w:eastAsia="en-US"/>
              </w:rPr>
              <w:t>mail</w:t>
            </w:r>
            <w:r w:rsidRPr="009717CE">
              <w:rPr>
                <w:bCs/>
                <w:sz w:val="16"/>
                <w:szCs w:val="16"/>
                <w:lang w:eastAsia="en-US"/>
              </w:rPr>
              <w:t>:</w:t>
            </w:r>
            <w:r w:rsidRPr="009717CE">
              <w:rPr>
                <w:sz w:val="16"/>
                <w:szCs w:val="16"/>
              </w:rPr>
              <w:t xml:space="preserve"> </w:t>
            </w:r>
            <w:proofErr w:type="spellStart"/>
            <w:r w:rsidRPr="009717CE"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9717CE">
              <w:rPr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 w:rsidRPr="009717CE"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9717CE"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9717CE"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9717CE" w:rsidRPr="009717CE" w:rsidRDefault="009717CE" w:rsidP="009717CE">
            <w:pPr>
              <w:jc w:val="center"/>
              <w:rPr>
                <w:sz w:val="16"/>
                <w:szCs w:val="16"/>
                <w:lang w:val="en-US"/>
              </w:rPr>
            </w:pPr>
            <w:hyperlink r:id="rId7" w:history="1">
              <w:r w:rsidRPr="009717CE">
                <w:rPr>
                  <w:bCs/>
                  <w:color w:val="0000FF"/>
                  <w:sz w:val="16"/>
                  <w:szCs w:val="22"/>
                  <w:u w:val="single"/>
                  <w:lang w:val="en-US" w:eastAsia="en-US"/>
                </w:rPr>
                <w:t>http://www.</w:t>
              </w:r>
              <w:r w:rsidRPr="009717CE">
                <w:rPr>
                  <w:sz w:val="16"/>
                  <w:szCs w:val="16"/>
                  <w:lang w:val="en-US"/>
                </w:rPr>
                <w:t xml:space="preserve"> </w:t>
              </w:r>
              <w:r w:rsidRPr="009717CE">
                <w:rPr>
                  <w:bCs/>
                  <w:color w:val="0000FF"/>
                  <w:sz w:val="16"/>
                  <w:szCs w:val="22"/>
                  <w:u w:val="single"/>
                  <w:lang w:val="en-US" w:eastAsia="en-US"/>
                </w:rPr>
                <w:t>ntashly.sharan-sovet.ru</w:t>
              </w:r>
            </w:hyperlink>
          </w:p>
        </w:tc>
      </w:tr>
    </w:tbl>
    <w:p w:rsidR="009717CE" w:rsidRDefault="009717CE" w:rsidP="009717CE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 xml:space="preserve">К А </w:t>
      </w:r>
      <w:proofErr w:type="gramStart"/>
      <w:r>
        <w:rPr>
          <w:rFonts w:ascii="ER Bukinist Bashkir" w:hAnsi="ER Bukinist Bashkir"/>
          <w:sz w:val="28"/>
          <w:szCs w:val="28"/>
        </w:rPr>
        <w:t>Р</w:t>
      </w:r>
      <w:proofErr w:type="gramEnd"/>
      <w:r>
        <w:rPr>
          <w:rFonts w:ascii="ER Bukinist Bashkir" w:hAnsi="ER Bukinist Bashkir"/>
          <w:sz w:val="28"/>
          <w:szCs w:val="28"/>
        </w:rPr>
        <w:t xml:space="preserve"> А Р</w:t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  <w:t xml:space="preserve">    ПОСТАНОВЛЕНИЕ</w:t>
      </w:r>
    </w:p>
    <w:p w:rsidR="009717CE" w:rsidRDefault="009717CE" w:rsidP="009717CE">
      <w:pPr>
        <w:widowControl w:val="0"/>
        <w:autoSpaceDE w:val="0"/>
        <w:autoSpaceDN w:val="0"/>
        <w:adjustRightInd w:val="0"/>
        <w:rPr>
          <w:rFonts w:ascii="ER Bukinist Bashkir" w:hAnsi="ER Bukinist Bashkir"/>
          <w:sz w:val="16"/>
          <w:szCs w:val="28"/>
        </w:rPr>
      </w:pPr>
    </w:p>
    <w:p w:rsidR="009717CE" w:rsidRDefault="009717CE" w:rsidP="009717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21 </w:t>
      </w:r>
      <w:r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декабрь </w:t>
      </w:r>
      <w:r>
        <w:rPr>
          <w:sz w:val="28"/>
          <w:szCs w:val="28"/>
        </w:rPr>
        <w:t>2020 й.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>
        <w:rPr>
          <w:rFonts w:ascii="ER Bukinist Bashkir" w:hAnsi="ER Bukinist Bashkir"/>
          <w:sz w:val="28"/>
          <w:szCs w:val="28"/>
        </w:rPr>
        <w:t xml:space="preserve">№  </w:t>
      </w:r>
      <w:r>
        <w:rPr>
          <w:rFonts w:ascii="ER Bukinist Bashkir" w:hAnsi="ER Bukinist Bashkir"/>
          <w:sz w:val="28"/>
          <w:szCs w:val="28"/>
        </w:rPr>
        <w:t>75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«</w:t>
      </w:r>
      <w:r>
        <w:rPr>
          <w:sz w:val="28"/>
          <w:szCs w:val="28"/>
        </w:rPr>
        <w:t xml:space="preserve"> 21 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2020г.</w:t>
      </w:r>
    </w:p>
    <w:p w:rsidR="009717CE" w:rsidRDefault="009717CE" w:rsidP="009717CE">
      <w:pPr>
        <w:ind w:hanging="180"/>
        <w:rPr>
          <w:sz w:val="28"/>
          <w:szCs w:val="28"/>
        </w:rPr>
      </w:pPr>
    </w:p>
    <w:p w:rsidR="009717CE" w:rsidRPr="00B75BE9" w:rsidRDefault="009717CE" w:rsidP="009717CE">
      <w:pPr>
        <w:pStyle w:val="a5"/>
        <w:rPr>
          <w:b/>
          <w:sz w:val="24"/>
        </w:rPr>
      </w:pPr>
      <w:r w:rsidRPr="00B75BE9">
        <w:rPr>
          <w:b/>
          <w:sz w:val="24"/>
        </w:rPr>
        <w:t>«О продаже объектов муниципального имущества на аукционе»</w:t>
      </w:r>
    </w:p>
    <w:p w:rsidR="009717CE" w:rsidRPr="00B75BE9" w:rsidRDefault="009717CE" w:rsidP="009717CE">
      <w:pPr>
        <w:pStyle w:val="a5"/>
        <w:rPr>
          <w:sz w:val="24"/>
        </w:rPr>
      </w:pPr>
    </w:p>
    <w:p w:rsidR="009717CE" w:rsidRPr="00B75BE9" w:rsidRDefault="009717CE" w:rsidP="009717CE">
      <w:pPr>
        <w:tabs>
          <w:tab w:val="left" w:pos="8789"/>
        </w:tabs>
        <w:ind w:firstLine="708"/>
        <w:jc w:val="both"/>
      </w:pPr>
      <w:proofErr w:type="gramStart"/>
      <w:r w:rsidRPr="00B75BE9">
        <w:t xml:space="preserve">В соответствии с Федеральным законом от 21 декабря 2001 года № 178-ФЗ «О приватизации государственного и муниципального имущества» и прогнозным планом (программой) приватизации муниципального имущества сельского поселения </w:t>
      </w:r>
      <w:proofErr w:type="spellStart"/>
      <w:r>
        <w:t>Нижнеташлинский</w:t>
      </w:r>
      <w:proofErr w:type="spellEnd"/>
      <w:r w:rsidRPr="00B75BE9">
        <w:t xml:space="preserve"> сельсовет муниципального района </w:t>
      </w:r>
      <w:proofErr w:type="spellStart"/>
      <w:r w:rsidRPr="00B75BE9">
        <w:t>Шаранский</w:t>
      </w:r>
      <w:proofErr w:type="spellEnd"/>
      <w:r w:rsidRPr="00B75BE9">
        <w:t xml:space="preserve"> район Республики Башкортостан на 20</w:t>
      </w:r>
      <w:r>
        <w:t>20</w:t>
      </w:r>
      <w:r w:rsidRPr="00B75BE9">
        <w:t xml:space="preserve"> год, утвержденным решением Совета сельского поселения </w:t>
      </w:r>
      <w:proofErr w:type="spellStart"/>
      <w:r>
        <w:t>Нижнеташлинский</w:t>
      </w:r>
      <w:proofErr w:type="spellEnd"/>
      <w:r w:rsidRPr="00B75BE9">
        <w:t xml:space="preserve"> сельсовет муниципального района </w:t>
      </w:r>
      <w:proofErr w:type="spellStart"/>
      <w:r w:rsidRPr="00B75BE9">
        <w:t>Шаранский</w:t>
      </w:r>
      <w:proofErr w:type="spellEnd"/>
      <w:r w:rsidRPr="00B75BE9">
        <w:t xml:space="preserve"> район Республики Башкортостан от </w:t>
      </w:r>
      <w:r>
        <w:t xml:space="preserve"> 16.12.2020 года №19/142</w:t>
      </w:r>
      <w:r w:rsidRPr="00B75BE9">
        <w:t xml:space="preserve">, </w:t>
      </w:r>
      <w:proofErr w:type="gramEnd"/>
    </w:p>
    <w:p w:rsidR="009717CE" w:rsidRPr="00B75BE9" w:rsidRDefault="009717CE" w:rsidP="009717CE">
      <w:pPr>
        <w:ind w:firstLine="708"/>
        <w:jc w:val="both"/>
        <w:rPr>
          <w:b/>
          <w:bCs/>
        </w:rPr>
      </w:pPr>
      <w:r w:rsidRPr="00B75BE9">
        <w:rPr>
          <w:b/>
          <w:bCs/>
        </w:rPr>
        <w:t>ПОСТАНОВЛЯЮ:</w:t>
      </w:r>
    </w:p>
    <w:p w:rsidR="009717CE" w:rsidRPr="00B75BE9" w:rsidRDefault="009717CE" w:rsidP="009717CE">
      <w:pPr>
        <w:ind w:firstLine="708"/>
        <w:jc w:val="both"/>
      </w:pPr>
      <w:r w:rsidRPr="00B75BE9">
        <w:rPr>
          <w:bCs/>
        </w:rPr>
        <w:t>1</w:t>
      </w:r>
      <w:r w:rsidRPr="00B75BE9">
        <w:t>. Приватизировать, находящ</w:t>
      </w:r>
      <w:r>
        <w:t>е</w:t>
      </w:r>
      <w:r w:rsidRPr="00B75BE9">
        <w:t xml:space="preserve">еся в собственности сельского поселения </w:t>
      </w:r>
      <w:proofErr w:type="spellStart"/>
      <w:r>
        <w:t>Нижнеташлинский</w:t>
      </w:r>
      <w:proofErr w:type="spellEnd"/>
      <w:r w:rsidRPr="00B75BE9">
        <w:t xml:space="preserve"> сельсовет муниципального района </w:t>
      </w:r>
      <w:proofErr w:type="spellStart"/>
      <w:r w:rsidRPr="00B75BE9">
        <w:t>Шаранский</w:t>
      </w:r>
      <w:proofErr w:type="spellEnd"/>
      <w:r w:rsidRPr="00B75BE9">
        <w:t xml:space="preserve"> район Республики Башкортостан муниципально</w:t>
      </w:r>
      <w:r>
        <w:t>е</w:t>
      </w:r>
      <w:r w:rsidRPr="00B75BE9">
        <w:t xml:space="preserve"> имуществ</w:t>
      </w:r>
      <w:r>
        <w:t>о</w:t>
      </w:r>
      <w:r w:rsidRPr="00B75BE9">
        <w:t>, согласно Приложению к настоящему постановлению.</w:t>
      </w:r>
    </w:p>
    <w:p w:rsidR="009717CE" w:rsidRPr="00B75BE9" w:rsidRDefault="009717CE" w:rsidP="009717CE">
      <w:pPr>
        <w:pStyle w:val="a3"/>
        <w:rPr>
          <w:b w:val="0"/>
          <w:bCs w:val="0"/>
          <w:sz w:val="24"/>
        </w:rPr>
      </w:pPr>
      <w:r w:rsidRPr="00B75BE9">
        <w:rPr>
          <w:b w:val="0"/>
          <w:bCs w:val="0"/>
          <w:sz w:val="24"/>
        </w:rPr>
        <w:t xml:space="preserve">   </w:t>
      </w:r>
      <w:r w:rsidRPr="00B75BE9">
        <w:rPr>
          <w:b w:val="0"/>
          <w:bCs w:val="0"/>
          <w:sz w:val="24"/>
        </w:rPr>
        <w:tab/>
        <w:t>2.      Установить:</w:t>
      </w:r>
    </w:p>
    <w:p w:rsidR="009717CE" w:rsidRPr="00B75BE9" w:rsidRDefault="009717CE" w:rsidP="009717CE">
      <w:pPr>
        <w:autoSpaceDE w:val="0"/>
        <w:autoSpaceDN w:val="0"/>
        <w:adjustRightInd w:val="0"/>
        <w:ind w:firstLine="720"/>
        <w:jc w:val="both"/>
      </w:pPr>
      <w:r w:rsidRPr="00B75BE9">
        <w:t xml:space="preserve">2.1.Способ приватизации муниципального имущества: </w:t>
      </w:r>
      <w:r w:rsidRPr="00225019">
        <w:t>продажа муниципального имущества на аукционе в электронной форме открытом по составу участников и по форме подаче предложений о цене.</w:t>
      </w:r>
    </w:p>
    <w:p w:rsidR="009717CE" w:rsidRPr="00B75BE9" w:rsidRDefault="009717CE" w:rsidP="009717CE">
      <w:pPr>
        <w:pStyle w:val="a7"/>
        <w:ind w:left="0" w:firstLine="213"/>
        <w:rPr>
          <w:sz w:val="24"/>
          <w:szCs w:val="24"/>
        </w:rPr>
      </w:pPr>
      <w:r w:rsidRPr="00B75BE9">
        <w:rPr>
          <w:sz w:val="24"/>
          <w:szCs w:val="24"/>
        </w:rPr>
        <w:t xml:space="preserve">        2.2. Аукцион является открытым по составу участников и по форме подаче предложений о цене. </w:t>
      </w:r>
    </w:p>
    <w:p w:rsidR="009717CE" w:rsidRPr="00B75BE9" w:rsidRDefault="009717CE" w:rsidP="009717CE">
      <w:pPr>
        <w:pStyle w:val="a7"/>
        <w:spacing w:after="0"/>
        <w:ind w:left="0"/>
        <w:rPr>
          <w:sz w:val="24"/>
          <w:szCs w:val="24"/>
        </w:rPr>
      </w:pPr>
      <w:r w:rsidRPr="00B75BE9">
        <w:rPr>
          <w:sz w:val="24"/>
          <w:szCs w:val="24"/>
        </w:rPr>
        <w:t xml:space="preserve">            2.3.Форма и порядок внесения платежа при заключении договора купли – продажи: в наличной (безналичной) форме единовременно в течение 10 дней с момента заключения договора купли-продажи  имущества.  НДС входит в цену продажи объекта и уплачивается покупателем самостоятельно в порядке и в сроки, установленные действующим законодательством, на расчетный счет отделения Федерального казначейства по месту регистрации покупателя.</w:t>
      </w:r>
    </w:p>
    <w:p w:rsidR="009717CE" w:rsidRDefault="009717CE" w:rsidP="009717CE">
      <w:pPr>
        <w:pStyle w:val="a7"/>
        <w:spacing w:after="0"/>
        <w:ind w:left="0"/>
        <w:rPr>
          <w:sz w:val="24"/>
          <w:szCs w:val="24"/>
        </w:rPr>
      </w:pPr>
      <w:r w:rsidRPr="00B75BE9">
        <w:rPr>
          <w:sz w:val="24"/>
          <w:szCs w:val="24"/>
        </w:rPr>
        <w:t xml:space="preserve">               Средство платежа – валюта Российской Федерации (рубли).</w:t>
      </w:r>
    </w:p>
    <w:p w:rsidR="009717CE" w:rsidRPr="00706FFE" w:rsidRDefault="009717CE" w:rsidP="009717CE">
      <w:pPr>
        <w:pStyle w:val="a7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706FFE">
        <w:rPr>
          <w:sz w:val="24"/>
          <w:szCs w:val="24"/>
        </w:rPr>
        <w:t xml:space="preserve">. </w:t>
      </w:r>
      <w:proofErr w:type="gramStart"/>
      <w:r w:rsidRPr="00706FFE">
        <w:rPr>
          <w:sz w:val="24"/>
          <w:szCs w:val="24"/>
        </w:rPr>
        <w:t xml:space="preserve">Обеспечить опубликование извещения  официальном сайте РФ для размещения информации о проведении торгов (www.torgi.gov.ru) и электронной площадки ООО “РТС-Тендер” – www.rts-tender.ru, официальном сайте Администрации сельского поселения </w:t>
      </w:r>
      <w:proofErr w:type="spellStart"/>
      <w:r w:rsidRPr="00706FFE">
        <w:rPr>
          <w:sz w:val="24"/>
          <w:szCs w:val="24"/>
        </w:rPr>
        <w:t>Нижнеташлинский</w:t>
      </w:r>
      <w:proofErr w:type="spellEnd"/>
      <w:r w:rsidRPr="00706FFE">
        <w:rPr>
          <w:sz w:val="24"/>
          <w:szCs w:val="24"/>
        </w:rPr>
        <w:t xml:space="preserve"> сельсовет муниципального района </w:t>
      </w:r>
      <w:proofErr w:type="spellStart"/>
      <w:r w:rsidRPr="00706FFE">
        <w:rPr>
          <w:sz w:val="24"/>
          <w:szCs w:val="24"/>
        </w:rPr>
        <w:t>Шаранский</w:t>
      </w:r>
      <w:proofErr w:type="spellEnd"/>
      <w:r w:rsidRPr="00706FFE">
        <w:rPr>
          <w:sz w:val="24"/>
          <w:szCs w:val="24"/>
        </w:rPr>
        <w:t xml:space="preserve"> район Республики Башкортостан (</w:t>
      </w:r>
      <w:proofErr w:type="spellStart"/>
      <w:r w:rsidRPr="00706FFE">
        <w:rPr>
          <w:sz w:val="24"/>
          <w:szCs w:val="24"/>
        </w:rPr>
        <w:t>www</w:t>
      </w:r>
      <w:proofErr w:type="spellEnd"/>
      <w:r w:rsidRPr="00706FFE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ntashly</w:t>
      </w:r>
      <w:proofErr w:type="spellEnd"/>
      <w:r w:rsidRPr="009717CE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706FFE">
        <w:rPr>
          <w:sz w:val="24"/>
          <w:szCs w:val="24"/>
        </w:rPr>
        <w:t>).</w:t>
      </w:r>
      <w:proofErr w:type="gramEnd"/>
    </w:p>
    <w:p w:rsidR="009717CE" w:rsidRPr="00706FFE" w:rsidRDefault="009717CE" w:rsidP="009717CE">
      <w:pPr>
        <w:ind w:firstLine="708"/>
        <w:jc w:val="both"/>
      </w:pPr>
      <w:r w:rsidRPr="00706FFE">
        <w:t xml:space="preserve">4.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706FFE">
        <w:t>Шаранскому</w:t>
      </w:r>
      <w:proofErr w:type="spellEnd"/>
      <w:r w:rsidRPr="00706FFE">
        <w:t xml:space="preserve"> району</w:t>
      </w:r>
      <w:r>
        <w:t xml:space="preserve"> </w:t>
      </w:r>
      <w:r w:rsidRPr="00706FFE">
        <w:t>подготовить аукционную документацию</w:t>
      </w:r>
      <w:r>
        <w:t xml:space="preserve"> и проект</w:t>
      </w:r>
      <w:r w:rsidRPr="00706FFE">
        <w:t xml:space="preserve"> договор</w:t>
      </w:r>
      <w:r>
        <w:t>а</w:t>
      </w:r>
      <w:r w:rsidRPr="00706FFE">
        <w:t xml:space="preserve"> купли-продажи муниципального имущества.</w:t>
      </w:r>
    </w:p>
    <w:p w:rsidR="009717CE" w:rsidRPr="00706FFE" w:rsidRDefault="009717CE" w:rsidP="009717CE">
      <w:pPr>
        <w:ind w:firstLine="708"/>
        <w:jc w:val="both"/>
      </w:pPr>
      <w:r w:rsidRPr="00706FFE">
        <w:t xml:space="preserve">5. </w:t>
      </w:r>
      <w:proofErr w:type="gramStart"/>
      <w:r w:rsidRPr="00706FFE">
        <w:t>Контроль за</w:t>
      </w:r>
      <w:proofErr w:type="gramEnd"/>
      <w:r w:rsidRPr="00706FFE">
        <w:t xml:space="preserve"> выполнением настоящего оставляю за собой.</w:t>
      </w:r>
    </w:p>
    <w:p w:rsidR="009717CE" w:rsidRDefault="009717CE" w:rsidP="009717CE">
      <w:pPr>
        <w:pStyle w:val="a7"/>
        <w:ind w:left="0" w:firstLine="0"/>
        <w:rPr>
          <w:sz w:val="24"/>
          <w:szCs w:val="24"/>
        </w:rPr>
      </w:pPr>
    </w:p>
    <w:p w:rsidR="009717CE" w:rsidRPr="00706FFE" w:rsidRDefault="009717CE" w:rsidP="009717CE">
      <w:pPr>
        <w:pStyle w:val="a7"/>
        <w:ind w:left="0" w:firstLine="0"/>
        <w:rPr>
          <w:sz w:val="24"/>
          <w:szCs w:val="24"/>
        </w:rPr>
      </w:pPr>
    </w:p>
    <w:p w:rsidR="009717CE" w:rsidRPr="00B75BE9" w:rsidRDefault="009717CE" w:rsidP="009717C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75BE9">
        <w:rPr>
          <w:rFonts w:ascii="Times New Roman" w:hAnsi="Times New Roman" w:cs="Times New Roman"/>
          <w:sz w:val="24"/>
          <w:szCs w:val="24"/>
        </w:rPr>
        <w:t xml:space="preserve">            Глава</w:t>
      </w:r>
      <w:r w:rsidRPr="00971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B75BE9">
        <w:rPr>
          <w:rFonts w:ascii="Times New Roman" w:hAnsi="Times New Roman" w:cs="Times New Roman"/>
          <w:sz w:val="24"/>
          <w:szCs w:val="24"/>
        </w:rPr>
        <w:t xml:space="preserve"> поселения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75BE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Г.С.Гарифуллина</w:t>
      </w:r>
      <w:proofErr w:type="spellEnd"/>
    </w:p>
    <w:p w:rsidR="009717CE" w:rsidRPr="00B75BE9" w:rsidRDefault="009717CE" w:rsidP="009717CE">
      <w:pPr>
        <w:pStyle w:val="a7"/>
        <w:ind w:left="0"/>
        <w:rPr>
          <w:sz w:val="24"/>
          <w:szCs w:val="24"/>
        </w:rPr>
      </w:pPr>
    </w:p>
    <w:p w:rsidR="009717CE" w:rsidRDefault="009717CE" w:rsidP="009717CE">
      <w:pPr>
        <w:pStyle w:val="a7"/>
        <w:ind w:left="0" w:firstLine="0"/>
        <w:rPr>
          <w:sz w:val="25"/>
          <w:szCs w:val="25"/>
        </w:rPr>
        <w:sectPr w:rsidR="009717CE" w:rsidSect="001115FE">
          <w:pgSz w:w="11906" w:h="16838"/>
          <w:pgMar w:top="539" w:right="567" w:bottom="720" w:left="964" w:header="709" w:footer="709" w:gutter="0"/>
          <w:cols w:space="708"/>
          <w:docGrid w:linePitch="360"/>
        </w:sectPr>
      </w:pPr>
    </w:p>
    <w:p w:rsidR="009717CE" w:rsidRPr="00E51F0C" w:rsidRDefault="009717CE" w:rsidP="009717CE">
      <w:pPr>
        <w:pStyle w:val="a7"/>
        <w:ind w:left="7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51F0C">
        <w:rPr>
          <w:sz w:val="20"/>
          <w:szCs w:val="20"/>
        </w:rPr>
        <w:t xml:space="preserve">Приложение </w:t>
      </w:r>
    </w:p>
    <w:p w:rsidR="009717CE" w:rsidRPr="00E51F0C" w:rsidRDefault="009717CE" w:rsidP="009717CE">
      <w:pPr>
        <w:pStyle w:val="a7"/>
        <w:ind w:left="7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к</w:t>
      </w:r>
      <w:r w:rsidRPr="00E51F0C">
        <w:rPr>
          <w:sz w:val="20"/>
          <w:szCs w:val="20"/>
        </w:rPr>
        <w:t xml:space="preserve"> постановлению</w:t>
      </w:r>
      <w:r>
        <w:rPr>
          <w:sz w:val="20"/>
          <w:szCs w:val="20"/>
        </w:rPr>
        <w:t xml:space="preserve"> </w:t>
      </w:r>
    </w:p>
    <w:p w:rsidR="009717CE" w:rsidRDefault="009717CE" w:rsidP="009717CE">
      <w:pPr>
        <w:pStyle w:val="a7"/>
        <w:ind w:left="7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51F0C">
        <w:rPr>
          <w:sz w:val="20"/>
          <w:szCs w:val="20"/>
        </w:rPr>
        <w:t xml:space="preserve">Главы </w:t>
      </w:r>
      <w:r>
        <w:rPr>
          <w:sz w:val="20"/>
          <w:szCs w:val="20"/>
        </w:rPr>
        <w:t xml:space="preserve">сельского поселения </w:t>
      </w:r>
    </w:p>
    <w:p w:rsidR="009717CE" w:rsidRPr="00E51F0C" w:rsidRDefault="009717CE" w:rsidP="009717CE">
      <w:pPr>
        <w:pStyle w:val="a7"/>
        <w:ind w:left="7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Нижнеташлинский</w:t>
      </w:r>
      <w:proofErr w:type="spellEnd"/>
      <w:r>
        <w:rPr>
          <w:sz w:val="20"/>
          <w:szCs w:val="20"/>
        </w:rPr>
        <w:t xml:space="preserve"> сельсовет </w:t>
      </w:r>
    </w:p>
    <w:p w:rsidR="009717CE" w:rsidRPr="00E51F0C" w:rsidRDefault="009717CE" w:rsidP="009717CE">
      <w:pPr>
        <w:pStyle w:val="a7"/>
        <w:ind w:left="7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м</w:t>
      </w:r>
      <w:r w:rsidRPr="00E51F0C">
        <w:rPr>
          <w:sz w:val="20"/>
          <w:szCs w:val="20"/>
        </w:rPr>
        <w:t>униципального района</w:t>
      </w:r>
    </w:p>
    <w:p w:rsidR="009717CE" w:rsidRPr="00E43CCC" w:rsidRDefault="009717CE" w:rsidP="009717CE">
      <w:pPr>
        <w:pStyle w:val="a7"/>
        <w:ind w:left="70"/>
        <w:jc w:val="left"/>
        <w:rPr>
          <w:sz w:val="25"/>
          <w:szCs w:val="25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51F0C">
        <w:rPr>
          <w:sz w:val="20"/>
          <w:szCs w:val="20"/>
        </w:rPr>
        <w:t>от «</w:t>
      </w:r>
      <w:r>
        <w:rPr>
          <w:sz w:val="20"/>
          <w:szCs w:val="20"/>
        </w:rPr>
        <w:t xml:space="preserve"> 21</w:t>
      </w:r>
      <w:r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</w:t>
      </w:r>
      <w:r w:rsidRPr="00E51F0C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Pr="00E51F0C">
        <w:rPr>
          <w:sz w:val="20"/>
          <w:szCs w:val="20"/>
        </w:rPr>
        <w:t>г</w:t>
      </w:r>
      <w:r>
        <w:rPr>
          <w:sz w:val="25"/>
          <w:szCs w:val="25"/>
        </w:rPr>
        <w:t>.</w:t>
      </w:r>
      <w:r w:rsidRPr="00FF15EC">
        <w:rPr>
          <w:sz w:val="20"/>
          <w:szCs w:val="20"/>
        </w:rPr>
        <w:t xml:space="preserve"> </w:t>
      </w:r>
      <w:r w:rsidRPr="00E51F0C">
        <w:rPr>
          <w:sz w:val="20"/>
          <w:szCs w:val="20"/>
        </w:rPr>
        <w:t xml:space="preserve">№ </w:t>
      </w:r>
      <w:r>
        <w:rPr>
          <w:sz w:val="20"/>
          <w:szCs w:val="20"/>
        </w:rPr>
        <w:t>75</w:t>
      </w:r>
    </w:p>
    <w:p w:rsidR="009717CE" w:rsidRDefault="009717CE" w:rsidP="009717CE">
      <w:pPr>
        <w:ind w:firstLine="72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М</w:t>
      </w:r>
      <w:r w:rsidRPr="00FF15EC">
        <w:rPr>
          <w:b/>
          <w:sz w:val="25"/>
          <w:szCs w:val="25"/>
        </w:rPr>
        <w:t>униципально</w:t>
      </w:r>
      <w:r>
        <w:rPr>
          <w:b/>
          <w:sz w:val="25"/>
          <w:szCs w:val="25"/>
        </w:rPr>
        <w:t>е</w:t>
      </w:r>
      <w:r w:rsidRPr="00FF15EC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имущество, выставляемое н</w:t>
      </w:r>
      <w:r w:rsidRPr="00FF15EC">
        <w:rPr>
          <w:b/>
          <w:sz w:val="25"/>
          <w:szCs w:val="25"/>
        </w:rPr>
        <w:t xml:space="preserve">а аукцион </w:t>
      </w:r>
    </w:p>
    <w:p w:rsidR="009717CE" w:rsidRPr="00FF15EC" w:rsidRDefault="009717CE" w:rsidP="009717CE">
      <w:pPr>
        <w:ind w:firstLine="720"/>
        <w:jc w:val="center"/>
        <w:rPr>
          <w:b/>
          <w:sz w:val="25"/>
          <w:szCs w:val="25"/>
        </w:rPr>
      </w:pPr>
    </w:p>
    <w:tbl>
      <w:tblPr>
        <w:tblpPr w:leftFromText="180" w:rightFromText="180" w:vertAnchor="text" w:tblpY="1"/>
        <w:tblOverlap w:val="never"/>
        <w:tblW w:w="1430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56"/>
        <w:gridCol w:w="3544"/>
        <w:gridCol w:w="1620"/>
        <w:gridCol w:w="1260"/>
        <w:gridCol w:w="1260"/>
        <w:gridCol w:w="1260"/>
        <w:gridCol w:w="1260"/>
      </w:tblGrid>
      <w:tr w:rsidR="009717CE" w:rsidRPr="00E42BAE" w:rsidTr="002D0525">
        <w:tc>
          <w:tcPr>
            <w:tcW w:w="648" w:type="dxa"/>
            <w:shd w:val="clear" w:color="auto" w:fill="auto"/>
          </w:tcPr>
          <w:p w:rsidR="009717CE" w:rsidRPr="00E42BAE" w:rsidRDefault="009717CE" w:rsidP="002D0525">
            <w:pPr>
              <w:jc w:val="center"/>
              <w:rPr>
                <w:sz w:val="22"/>
                <w:szCs w:val="22"/>
              </w:rPr>
            </w:pPr>
            <w:r w:rsidRPr="00E42BAE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3456" w:type="dxa"/>
            <w:shd w:val="clear" w:color="auto" w:fill="auto"/>
          </w:tcPr>
          <w:p w:rsidR="009717CE" w:rsidRPr="00E42BAE" w:rsidRDefault="009717CE" w:rsidP="002D0525">
            <w:pPr>
              <w:jc w:val="center"/>
              <w:rPr>
                <w:sz w:val="22"/>
                <w:szCs w:val="22"/>
              </w:rPr>
            </w:pPr>
            <w:r w:rsidRPr="00E42BAE">
              <w:rPr>
                <w:sz w:val="22"/>
                <w:szCs w:val="22"/>
              </w:rPr>
              <w:t>Адрес об</w:t>
            </w:r>
            <w:r w:rsidRPr="00E42BAE">
              <w:rPr>
                <w:sz w:val="22"/>
                <w:szCs w:val="22"/>
              </w:rPr>
              <w:t>ъ</w:t>
            </w:r>
            <w:r w:rsidRPr="00E42BAE">
              <w:rPr>
                <w:sz w:val="22"/>
                <w:szCs w:val="22"/>
              </w:rPr>
              <w:t>екта</w:t>
            </w:r>
          </w:p>
        </w:tc>
        <w:tc>
          <w:tcPr>
            <w:tcW w:w="3544" w:type="dxa"/>
            <w:shd w:val="clear" w:color="auto" w:fill="auto"/>
          </w:tcPr>
          <w:p w:rsidR="009717CE" w:rsidRPr="00E42BAE" w:rsidRDefault="009717CE" w:rsidP="002D0525">
            <w:pPr>
              <w:jc w:val="center"/>
              <w:rPr>
                <w:sz w:val="22"/>
                <w:szCs w:val="22"/>
              </w:rPr>
            </w:pPr>
            <w:r w:rsidRPr="00E42BAE">
              <w:rPr>
                <w:sz w:val="22"/>
                <w:szCs w:val="22"/>
              </w:rPr>
              <w:t>Характеристика</w:t>
            </w:r>
          </w:p>
          <w:p w:rsidR="009717CE" w:rsidRPr="00E42BAE" w:rsidRDefault="009717CE" w:rsidP="002D0525">
            <w:pPr>
              <w:jc w:val="center"/>
              <w:rPr>
                <w:sz w:val="22"/>
                <w:szCs w:val="22"/>
              </w:rPr>
            </w:pPr>
            <w:r w:rsidRPr="00E42BAE">
              <w:rPr>
                <w:sz w:val="22"/>
                <w:szCs w:val="22"/>
              </w:rPr>
              <w:t>об</w:t>
            </w:r>
            <w:r w:rsidRPr="00E42BAE">
              <w:rPr>
                <w:sz w:val="22"/>
                <w:szCs w:val="22"/>
              </w:rPr>
              <w:t>ъ</w:t>
            </w:r>
            <w:r w:rsidRPr="00E42BAE">
              <w:rPr>
                <w:sz w:val="22"/>
                <w:szCs w:val="22"/>
              </w:rPr>
              <w:t>екта</w:t>
            </w:r>
          </w:p>
        </w:tc>
        <w:tc>
          <w:tcPr>
            <w:tcW w:w="1620" w:type="dxa"/>
            <w:shd w:val="clear" w:color="auto" w:fill="auto"/>
          </w:tcPr>
          <w:p w:rsidR="009717CE" w:rsidRPr="00E42BAE" w:rsidRDefault="009717CE" w:rsidP="002D0525">
            <w:pPr>
              <w:jc w:val="center"/>
              <w:rPr>
                <w:sz w:val="22"/>
                <w:szCs w:val="22"/>
              </w:rPr>
            </w:pPr>
            <w:r w:rsidRPr="00E42BAE">
              <w:rPr>
                <w:sz w:val="22"/>
                <w:szCs w:val="22"/>
              </w:rPr>
              <w:t>Начальная ц</w:t>
            </w:r>
            <w:r w:rsidRPr="00E42BAE">
              <w:rPr>
                <w:sz w:val="22"/>
                <w:szCs w:val="22"/>
              </w:rPr>
              <w:t>е</w:t>
            </w:r>
            <w:r w:rsidRPr="00E42BAE">
              <w:rPr>
                <w:sz w:val="22"/>
                <w:szCs w:val="22"/>
              </w:rPr>
              <w:t>на продажи, с НДС, руб.</w:t>
            </w:r>
          </w:p>
        </w:tc>
        <w:tc>
          <w:tcPr>
            <w:tcW w:w="1260" w:type="dxa"/>
          </w:tcPr>
          <w:p w:rsidR="009717CE" w:rsidRPr="00E42BAE" w:rsidRDefault="009717CE" w:rsidP="002D05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стоимость </w:t>
            </w: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 участка. Руб.</w:t>
            </w:r>
          </w:p>
        </w:tc>
        <w:tc>
          <w:tcPr>
            <w:tcW w:w="1260" w:type="dxa"/>
            <w:shd w:val="clear" w:color="auto" w:fill="auto"/>
          </w:tcPr>
          <w:p w:rsidR="009717CE" w:rsidRPr="00E42BAE" w:rsidRDefault="009717CE" w:rsidP="002D0525">
            <w:pPr>
              <w:jc w:val="center"/>
              <w:rPr>
                <w:sz w:val="22"/>
                <w:szCs w:val="22"/>
              </w:rPr>
            </w:pPr>
            <w:r w:rsidRPr="00E42BAE">
              <w:rPr>
                <w:sz w:val="22"/>
                <w:szCs w:val="22"/>
              </w:rPr>
              <w:t>НДС, руб., в том числе</w:t>
            </w:r>
          </w:p>
        </w:tc>
        <w:tc>
          <w:tcPr>
            <w:tcW w:w="1260" w:type="dxa"/>
            <w:shd w:val="clear" w:color="auto" w:fill="auto"/>
          </w:tcPr>
          <w:p w:rsidR="009717CE" w:rsidRPr="00E42BAE" w:rsidRDefault="009717CE" w:rsidP="002D0525">
            <w:pPr>
              <w:jc w:val="center"/>
              <w:rPr>
                <w:sz w:val="22"/>
                <w:szCs w:val="22"/>
              </w:rPr>
            </w:pPr>
            <w:r w:rsidRPr="00E42BAE">
              <w:rPr>
                <w:sz w:val="22"/>
                <w:szCs w:val="22"/>
              </w:rPr>
              <w:t>Шаг ау</w:t>
            </w:r>
            <w:r w:rsidRPr="00E42BAE">
              <w:rPr>
                <w:sz w:val="22"/>
                <w:szCs w:val="22"/>
              </w:rPr>
              <w:t>к</w:t>
            </w:r>
            <w:r w:rsidRPr="00E42BAE">
              <w:rPr>
                <w:sz w:val="22"/>
                <w:szCs w:val="22"/>
              </w:rPr>
              <w:t>циона, (5%), руб.</w:t>
            </w:r>
          </w:p>
        </w:tc>
        <w:tc>
          <w:tcPr>
            <w:tcW w:w="1260" w:type="dxa"/>
            <w:shd w:val="clear" w:color="auto" w:fill="auto"/>
          </w:tcPr>
          <w:p w:rsidR="009717CE" w:rsidRPr="00E42BAE" w:rsidRDefault="009717CE" w:rsidP="002D0525">
            <w:pPr>
              <w:ind w:right="72"/>
              <w:jc w:val="center"/>
              <w:rPr>
                <w:sz w:val="22"/>
                <w:szCs w:val="22"/>
              </w:rPr>
            </w:pPr>
            <w:r w:rsidRPr="00E42BAE">
              <w:rPr>
                <w:sz w:val="22"/>
                <w:szCs w:val="22"/>
              </w:rPr>
              <w:t>Размер з</w:t>
            </w:r>
            <w:r w:rsidRPr="00E42BAE">
              <w:rPr>
                <w:sz w:val="22"/>
                <w:szCs w:val="22"/>
              </w:rPr>
              <w:t>а</w:t>
            </w:r>
            <w:r w:rsidRPr="00E42BAE">
              <w:rPr>
                <w:sz w:val="22"/>
                <w:szCs w:val="22"/>
              </w:rPr>
              <w:t>датка, (20%), руб.</w:t>
            </w:r>
          </w:p>
        </w:tc>
      </w:tr>
      <w:tr w:rsidR="009717CE" w:rsidRPr="008A37F2" w:rsidTr="002D0525">
        <w:tc>
          <w:tcPr>
            <w:tcW w:w="648" w:type="dxa"/>
            <w:shd w:val="clear" w:color="auto" w:fill="auto"/>
          </w:tcPr>
          <w:p w:rsidR="009717CE" w:rsidRPr="00E42BAE" w:rsidRDefault="009717CE" w:rsidP="002D0525">
            <w:pPr>
              <w:jc w:val="center"/>
              <w:rPr>
                <w:sz w:val="22"/>
                <w:szCs w:val="22"/>
              </w:rPr>
            </w:pPr>
            <w:r w:rsidRPr="00E42BAE">
              <w:rPr>
                <w:sz w:val="22"/>
                <w:szCs w:val="22"/>
              </w:rPr>
              <w:t>1</w:t>
            </w:r>
          </w:p>
        </w:tc>
        <w:tc>
          <w:tcPr>
            <w:tcW w:w="3456" w:type="dxa"/>
            <w:shd w:val="clear" w:color="auto" w:fill="auto"/>
          </w:tcPr>
          <w:p w:rsidR="009717CE" w:rsidRPr="000230A7" w:rsidRDefault="009717CE" w:rsidP="002D0525">
            <w:r w:rsidRPr="000230A7">
              <w:t xml:space="preserve">РБ, </w:t>
            </w:r>
            <w:proofErr w:type="spellStart"/>
            <w:r w:rsidRPr="000230A7">
              <w:t>Шаранский</w:t>
            </w:r>
            <w:proofErr w:type="spellEnd"/>
            <w:r w:rsidRPr="000230A7">
              <w:t xml:space="preserve"> район, с. </w:t>
            </w:r>
            <w:proofErr w:type="gramStart"/>
            <w:r>
              <w:t>Верхние</w:t>
            </w:r>
            <w:proofErr w:type="gramEnd"/>
            <w:r w:rsidRPr="000230A7">
              <w:t xml:space="preserve"> Ташлы, ул. </w:t>
            </w:r>
            <w:r>
              <w:t xml:space="preserve">им. 70-летия Башкирии, д.58 </w:t>
            </w:r>
          </w:p>
        </w:tc>
        <w:tc>
          <w:tcPr>
            <w:tcW w:w="3544" w:type="dxa"/>
            <w:shd w:val="clear" w:color="auto" w:fill="auto"/>
          </w:tcPr>
          <w:p w:rsidR="009717CE" w:rsidRPr="000230A7" w:rsidRDefault="009717CE" w:rsidP="002D0525">
            <w:pPr>
              <w:jc w:val="both"/>
            </w:pPr>
            <w:r w:rsidRPr="000230A7">
              <w:t>нежилое здание</w:t>
            </w:r>
            <w:r>
              <w:t xml:space="preserve"> площадью 1390</w:t>
            </w:r>
            <w:r w:rsidRPr="000230A7">
              <w:t xml:space="preserve"> </w:t>
            </w:r>
            <w:proofErr w:type="spellStart"/>
            <w:r w:rsidRPr="000230A7">
              <w:t>кв.м</w:t>
            </w:r>
            <w:proofErr w:type="spellEnd"/>
            <w:r w:rsidRPr="000230A7">
              <w:t>., кадастровый номер</w:t>
            </w:r>
            <w:r>
              <w:t xml:space="preserve"> </w:t>
            </w:r>
            <w:r w:rsidRPr="000230A7">
              <w:t>02:53:010</w:t>
            </w:r>
            <w:r>
              <w:t>201</w:t>
            </w:r>
            <w:r w:rsidRPr="000230A7">
              <w:t>:</w:t>
            </w:r>
            <w:r>
              <w:t xml:space="preserve">268, с земельным участком площадью 7618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  <w:r w:rsidRPr="00E15E0A">
              <w:t>кадастровый номер 02:53:01</w:t>
            </w:r>
            <w:r>
              <w:t>0201:296</w:t>
            </w:r>
          </w:p>
        </w:tc>
        <w:tc>
          <w:tcPr>
            <w:tcW w:w="1620" w:type="dxa"/>
            <w:shd w:val="clear" w:color="auto" w:fill="auto"/>
          </w:tcPr>
          <w:p w:rsidR="009717CE" w:rsidRPr="00EB5687" w:rsidRDefault="009717CE" w:rsidP="002D0525">
            <w:pPr>
              <w:jc w:val="center"/>
            </w:pPr>
            <w:r>
              <w:t>492000</w:t>
            </w:r>
          </w:p>
        </w:tc>
        <w:tc>
          <w:tcPr>
            <w:tcW w:w="1260" w:type="dxa"/>
          </w:tcPr>
          <w:p w:rsidR="009717CE" w:rsidRPr="00EB5687" w:rsidRDefault="009717CE" w:rsidP="002D0525">
            <w:pPr>
              <w:jc w:val="center"/>
            </w:pPr>
            <w:r>
              <w:t>229000</w:t>
            </w:r>
          </w:p>
        </w:tc>
        <w:tc>
          <w:tcPr>
            <w:tcW w:w="1260" w:type="dxa"/>
            <w:shd w:val="clear" w:color="auto" w:fill="auto"/>
          </w:tcPr>
          <w:p w:rsidR="009717CE" w:rsidRPr="00EB5687" w:rsidRDefault="009717CE" w:rsidP="002D0525">
            <w:pPr>
              <w:jc w:val="center"/>
            </w:pPr>
            <w:r>
              <w:t>43833</w:t>
            </w:r>
          </w:p>
        </w:tc>
        <w:tc>
          <w:tcPr>
            <w:tcW w:w="1260" w:type="dxa"/>
            <w:shd w:val="clear" w:color="auto" w:fill="auto"/>
          </w:tcPr>
          <w:p w:rsidR="009717CE" w:rsidRPr="00EB5687" w:rsidRDefault="009717CE" w:rsidP="002D0525">
            <w:pPr>
              <w:jc w:val="center"/>
            </w:pPr>
            <w:r>
              <w:t>24600</w:t>
            </w:r>
          </w:p>
        </w:tc>
        <w:tc>
          <w:tcPr>
            <w:tcW w:w="1260" w:type="dxa"/>
            <w:shd w:val="clear" w:color="auto" w:fill="auto"/>
          </w:tcPr>
          <w:p w:rsidR="009717CE" w:rsidRPr="00EB5687" w:rsidRDefault="009717CE" w:rsidP="002D0525">
            <w:pPr>
              <w:jc w:val="center"/>
            </w:pPr>
            <w:r>
              <w:t>98400</w:t>
            </w:r>
          </w:p>
        </w:tc>
      </w:tr>
    </w:tbl>
    <w:p w:rsidR="009717CE" w:rsidRDefault="009717CE" w:rsidP="009717CE">
      <w:pPr>
        <w:suppressAutoHyphens/>
        <w:ind w:firstLine="708"/>
        <w:rPr>
          <w:b/>
          <w:bCs/>
        </w:rPr>
      </w:pPr>
      <w:r>
        <w:rPr>
          <w:b/>
          <w:bCs/>
        </w:rPr>
        <w:br w:type="textWrapping" w:clear="all"/>
      </w:r>
    </w:p>
    <w:p w:rsidR="009717CE" w:rsidRDefault="009717CE" w:rsidP="009717CE">
      <w:pPr>
        <w:pStyle w:val="a3"/>
        <w:rPr>
          <w:b w:val="0"/>
          <w:szCs w:val="28"/>
        </w:rPr>
      </w:pPr>
    </w:p>
    <w:p w:rsidR="009717CE" w:rsidRDefault="009717CE" w:rsidP="009717CE">
      <w:pPr>
        <w:pStyle w:val="a3"/>
        <w:rPr>
          <w:b w:val="0"/>
          <w:szCs w:val="28"/>
        </w:rPr>
      </w:pPr>
    </w:p>
    <w:p w:rsidR="008C6398" w:rsidRDefault="008C6398"/>
    <w:sectPr w:rsidR="008C6398" w:rsidSect="00E51F0C">
      <w:pgSz w:w="16838" w:h="11906" w:orient="landscape"/>
      <w:pgMar w:top="964" w:right="539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28"/>
    <w:rsid w:val="005A2E28"/>
    <w:rsid w:val="008C6398"/>
    <w:rsid w:val="0097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717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717CE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717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9717CE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9717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9717CE"/>
    <w:pPr>
      <w:tabs>
        <w:tab w:val="left" w:pos="0"/>
      </w:tabs>
      <w:autoSpaceDE w:val="0"/>
      <w:autoSpaceDN w:val="0"/>
      <w:adjustRightInd w:val="0"/>
      <w:spacing w:after="120"/>
      <w:ind w:left="283" w:hanging="70"/>
      <w:jc w:val="both"/>
    </w:pPr>
    <w:rPr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rsid w:val="009717C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17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17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717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717CE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717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9717CE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9717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9717CE"/>
    <w:pPr>
      <w:tabs>
        <w:tab w:val="left" w:pos="0"/>
      </w:tabs>
      <w:autoSpaceDE w:val="0"/>
      <w:autoSpaceDN w:val="0"/>
      <w:adjustRightInd w:val="0"/>
      <w:spacing w:after="120"/>
      <w:ind w:left="283" w:hanging="70"/>
      <w:jc w:val="both"/>
    </w:pPr>
    <w:rPr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rsid w:val="009717C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17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17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lmaly.sharan-sov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halma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2020-12-21T14:34:00Z</cp:lastPrinted>
  <dcterms:created xsi:type="dcterms:W3CDTF">2020-12-21T14:29:00Z</dcterms:created>
  <dcterms:modified xsi:type="dcterms:W3CDTF">2020-12-21T14:36:00Z</dcterms:modified>
</cp:coreProperties>
</file>