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23" w:tblpY="-816"/>
        <w:tblW w:w="108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2362"/>
        <w:gridCol w:w="4198"/>
      </w:tblGrid>
      <w:tr w:rsidR="005D0343" w:rsidRPr="00280073" w:rsidTr="00AB14EC">
        <w:tc>
          <w:tcPr>
            <w:tcW w:w="42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proofErr w:type="gramEnd"/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452645, Шаран районы,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Ташлы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20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proofErr w:type="spellEnd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80073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D0343" w:rsidRPr="00280073" w:rsidRDefault="005D0343" w:rsidP="00AB14E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val="en-US"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  <w:tc>
          <w:tcPr>
            <w:tcW w:w="236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EA2E5C6" wp14:editId="6A55A0BD">
                  <wp:extent cx="80772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2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ижние Ташлы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</w:t>
            </w:r>
            <w:proofErr w:type="gram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обеды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                       </w:t>
            </w:r>
            <w:r>
              <w:fldChar w:fldCharType="begin"/>
            </w:r>
            <w:r w:rsidRPr="00373852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373852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73852">
              <w:rPr>
                <w:lang w:val="be-BY"/>
              </w:rPr>
              <w:instrText>://</w:instrText>
            </w:r>
            <w:r>
              <w:instrText>ntashly</w:instrText>
            </w:r>
            <w:r w:rsidRPr="00373852">
              <w:rPr>
                <w:lang w:val="be-BY"/>
              </w:rPr>
              <w:instrText>.</w:instrText>
            </w:r>
            <w:r>
              <w:instrText>sharan</w:instrText>
            </w:r>
            <w:r w:rsidRPr="00373852">
              <w:rPr>
                <w:lang w:val="be-BY"/>
              </w:rPr>
              <w:instrText>-</w:instrText>
            </w:r>
            <w:r>
              <w:instrText>sovet</w:instrText>
            </w:r>
            <w:r w:rsidRPr="00373852">
              <w:rPr>
                <w:lang w:val="be-BY"/>
              </w:rPr>
              <w:instrText>.</w:instrText>
            </w:r>
            <w:r>
              <w:instrText>ru</w:instrText>
            </w:r>
            <w:r w:rsidRPr="00373852">
              <w:rPr>
                <w:lang w:val="be-BY"/>
              </w:rPr>
              <w:instrText xml:space="preserve">" </w:instrText>
            </w:r>
            <w:r>
              <w:fldChar w:fldCharType="separate"/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http</w:t>
            </w:r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://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ntashly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sharan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-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sovet</w:t>
            </w:r>
            <w:proofErr w:type="spellEnd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be-BY" w:eastAsia="ru-RU"/>
              </w:rPr>
              <w:t>.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80"/>
                <w:sz w:val="16"/>
                <w:szCs w:val="16"/>
                <w:u w:val="single"/>
                <w:lang w:val="en-US" w:eastAsia="ru-RU"/>
              </w:rPr>
              <w:fldChar w:fldCharType="end"/>
            </w:r>
          </w:p>
          <w:p w:rsidR="005D0343" w:rsidRPr="00280073" w:rsidRDefault="005D0343" w:rsidP="00AB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863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ОГРН </w:t>
            </w:r>
            <w:r w:rsidRPr="0028007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1020200612805</w:t>
            </w:r>
          </w:p>
        </w:tc>
      </w:tr>
    </w:tbl>
    <w:p w:rsidR="005D0343" w:rsidRPr="00280073" w:rsidRDefault="005D0343" w:rsidP="005D034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73">
        <w:rPr>
          <w:rFonts w:ascii="ER Bukinist Bashkir" w:eastAsia="Times New Roman" w:hAnsi="ER Bukinist Bashkir" w:cs="Times New Roman"/>
          <w:b/>
          <w:bCs/>
          <w:sz w:val="28"/>
          <w:szCs w:val="28"/>
          <w:lang w:eastAsia="ru-RU"/>
        </w:rPr>
        <w:t>Ҡ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РЕШЕНИЕ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 (программы)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зации муниципального имущества с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ельского посел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5D0343" w:rsidRPr="001B0F5E" w:rsidRDefault="005D0343" w:rsidP="005D0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Российской Федерации от  21 декабря 2001 года     № 178-ФЗ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приватизации  государственного и муниципального имущества "эффективного управления муниципальным имуществом и формирования доходов бюджета Совет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280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8BC" w:rsidRPr="001B0F5E" w:rsidRDefault="005D0343" w:rsidP="0000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58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0058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Прогнозного план</w:t>
      </w:r>
      <w:r w:rsidR="00233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 приватизации муниципального имущества сельского поселения </w:t>
      </w:r>
      <w:proofErr w:type="spellStart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 w:rsidR="000058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решением Совета сельского поселения </w:t>
      </w:r>
      <w:proofErr w:type="spellStart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="0000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0058BC" w:rsidRPr="00B5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03.11.2020 г №17/123</w:t>
      </w:r>
      <w:r w:rsidR="00005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8BC" w:rsidRPr="002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 следующие объекты</w:t>
      </w:r>
      <w:r w:rsidR="000058BC" w:rsidRPr="00233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0058BC" w:rsidRPr="00280073" w:rsidTr="000058BC">
        <w:trPr>
          <w:trHeight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338BD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ind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338BD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338BD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1390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кадастровый номер 02:53:0102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  <w:p w:rsidR="000058BC" w:rsidRPr="00280073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7618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</w:t>
            </w: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Верхние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Ташлы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им.70-летия Башкирии</w:t>
            </w: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795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02:53:010801:46</w:t>
            </w:r>
          </w:p>
          <w:p w:rsidR="000058BC" w:rsidRPr="00370DDE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земельным участком 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77541 </w:t>
            </w:r>
            <w:proofErr w:type="spellStart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кадастровый номер </w:t>
            </w:r>
            <w:r w:rsidRPr="00935495">
              <w:rPr>
                <w:rFonts w:ascii="Times New Roman" w:eastAsia="Times New Roman" w:hAnsi="Times New Roman" w:cs="Times New Roman"/>
                <w:sz w:val="28"/>
                <w:szCs w:val="28"/>
              </w:rPr>
              <w:t>02:53:010801: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, д.23,строение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2813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02:53:010801:45</w:t>
            </w:r>
          </w:p>
          <w:p w:rsidR="000058BC" w:rsidRPr="00370DDE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2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1414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02:53:010801:48</w:t>
            </w:r>
          </w:p>
          <w:p w:rsidR="000058BC" w:rsidRPr="00370DDE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3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910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02:53:010801:44</w:t>
            </w:r>
          </w:p>
          <w:p w:rsidR="000058BC" w:rsidRPr="00370DDE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4</w:t>
            </w:r>
          </w:p>
        </w:tc>
      </w:tr>
      <w:tr w:rsidR="000058BC" w:rsidRPr="00280073" w:rsidTr="000058BC">
        <w:trPr>
          <w:trHeight w:val="18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Pr="00280073" w:rsidRDefault="000058BC" w:rsidP="0024615E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1154 </w:t>
            </w:r>
            <w:proofErr w:type="spellStart"/>
            <w:r w:rsidRPr="00370DDE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02:53:010801:47</w:t>
            </w:r>
          </w:p>
          <w:p w:rsidR="000058BC" w:rsidRPr="00370DDE" w:rsidRDefault="000058BC" w:rsidP="00246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BC" w:rsidRDefault="000058BC" w:rsidP="00246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шлы,ул.Мостовая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д.23,строение 5</w:t>
            </w:r>
          </w:p>
        </w:tc>
      </w:tr>
    </w:tbl>
    <w:p w:rsidR="000058BC" w:rsidRPr="00280073" w:rsidRDefault="005D0343" w:rsidP="000058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8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58BC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1 изложить в новой редакции: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Прогнозного плана (программа) приватизации муниципального имущества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приватизации) является максимальный вклад приватизации в повышение темпов роста и эффективности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приватизации являются: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приватизации муниципального имущества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которое </w:t>
      </w:r>
      <w:r w:rsidRPr="002800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используется для обеспечения функций и задач муниципального района;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доходов бюджета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района;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привлечения инвестиций в реальный сектор экономики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района.</w:t>
      </w:r>
    </w:p>
    <w:p w:rsidR="000058BC" w:rsidRPr="00280073" w:rsidRDefault="000058BC" w:rsidP="00005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приватизации предлагается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bookmarkStart w:id="0" w:name="_GoBack"/>
      <w:bookmarkEnd w:id="0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0058BC" w:rsidRPr="00280073" w:rsidRDefault="000058BC" w:rsidP="00005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прогноза социально-экономического развития сельского поселения на среднесрочную перспективу и оценки прогнозируемой стоимости предлагаемых к приватизации объектов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сумма ожидаемых поступлений в бюджет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доходов от приватизации муниципального имущества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планируется  в размере </w:t>
      </w:r>
      <w:r w:rsidR="002338B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D0343" w:rsidRPr="00280073" w:rsidRDefault="005D0343" w:rsidP="005D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со дня обнародования на информационном стенде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размещения в сети общего доступа «Интернет» на официальном сайте Совета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 района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ntashly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5D0343" w:rsidRPr="001B0F5E" w:rsidRDefault="005D0343" w:rsidP="005D0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бюджету, налогам и вопросам собственности.</w:t>
      </w:r>
    </w:p>
    <w:p w:rsidR="005D034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D0343" w:rsidRDefault="005D0343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BD" w:rsidRPr="00280073" w:rsidRDefault="002338BD" w:rsidP="005D03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5D0343" w:rsidRPr="00280073" w:rsidRDefault="002338BD" w:rsidP="005D03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</w:t>
      </w:r>
      <w:r w:rsidR="005D0343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03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0343"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D0343" w:rsidRPr="00280073" w:rsidRDefault="005D0343" w:rsidP="005D034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38B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800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338BD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5D0343" w:rsidRDefault="005D0343" w:rsidP="005D0343"/>
    <w:p w:rsidR="004E6EE3" w:rsidRDefault="004E6EE3"/>
    <w:sectPr w:rsidR="004E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940"/>
    <w:multiLevelType w:val="hybridMultilevel"/>
    <w:tmpl w:val="80E67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D"/>
    <w:rsid w:val="000058BC"/>
    <w:rsid w:val="00032C2D"/>
    <w:rsid w:val="002338BD"/>
    <w:rsid w:val="004E6EE3"/>
    <w:rsid w:val="005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2021-09-09T14:17:00Z</cp:lastPrinted>
  <dcterms:created xsi:type="dcterms:W3CDTF">2021-09-09T13:54:00Z</dcterms:created>
  <dcterms:modified xsi:type="dcterms:W3CDTF">2021-09-09T14:20:00Z</dcterms:modified>
</cp:coreProperties>
</file>