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2128"/>
        <w:gridCol w:w="3828"/>
      </w:tblGrid>
      <w:tr w:rsidR="00E67978" w:rsidRPr="00E67978" w:rsidTr="00116D32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</w:t>
            </w:r>
            <w:r w:rsidRPr="00E67978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ының</w:t>
            </w:r>
            <w:proofErr w:type="spellEnd"/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 районы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Тубэнге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Ташлы 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E67978" w:rsidRPr="00E67978" w:rsidRDefault="00E67978" w:rsidP="00E6797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</w:pP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E67978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E67978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</w:t>
            </w:r>
            <w:r w:rsidRPr="00E67978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ының</w:t>
            </w:r>
            <w:proofErr w:type="spellEnd"/>
          </w:p>
          <w:p w:rsidR="00E67978" w:rsidRPr="00E67978" w:rsidRDefault="00E67978" w:rsidP="00E67978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Шаран районы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Тубэнге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Ташлы 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E67978" w:rsidRPr="00E67978" w:rsidRDefault="00E67978" w:rsidP="00E679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Жину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урамы,20,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Тубэнге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Ташлы  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аулы Шаран районы</w:t>
            </w: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r w:rsidRPr="00E67978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E67978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Республика</w:t>
            </w:r>
            <w:r w:rsidRPr="00E67978">
              <w:rPr>
                <w:rFonts w:ascii="ER Bukinist Bashkir" w:eastAsia="Times New Roman" w:hAnsi="ER Bukinist Bashkir"/>
                <w:iCs/>
                <w:sz w:val="18"/>
                <w:szCs w:val="18"/>
                <w:lang w:eastAsia="ru-RU"/>
              </w:rPr>
              <w:t>һ</w:t>
            </w:r>
            <w:r w:rsidRPr="00E67978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ының</w:t>
            </w:r>
            <w:proofErr w:type="spellEnd"/>
          </w:p>
          <w:p w:rsidR="00E67978" w:rsidRPr="00E67978" w:rsidRDefault="00E67978" w:rsidP="00E679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Тел./факс(347 69) 2-51-49,</w:t>
            </w:r>
          </w:p>
          <w:p w:rsidR="00E67978" w:rsidRPr="00E67978" w:rsidRDefault="00E67978" w:rsidP="00E679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e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-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mail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: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@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.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E67978" w:rsidRPr="00E67978" w:rsidRDefault="00E67978" w:rsidP="00E679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http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://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www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.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ntashly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-sovet.ru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7978" w:rsidRPr="00E67978" w:rsidRDefault="00E67978" w:rsidP="00E67978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  <w:r w:rsidRPr="00E67978"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6.9pt;height:1in;visibility:visible;mso-wrap-style:square" filled="t">
                  <v:imagedata r:id="rId8" o:title=""/>
                </v:shape>
              </w:pic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Администрация сельского поселения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 w:eastAsia="ru-RU"/>
              </w:rPr>
              <w:t>Нижнеташлин</w:t>
            </w:r>
            <w:proofErr w:type="spellStart"/>
            <w:r w:rsidRPr="00E67978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ский</w:t>
            </w:r>
            <w:proofErr w:type="spellEnd"/>
            <w:r w:rsidRPr="00E67978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 xml:space="preserve"> сельсовет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район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 w:cs="Tahoma"/>
                <w:b/>
                <w:sz w:val="18"/>
                <w:szCs w:val="18"/>
                <w:lang w:val="be-BY" w:eastAsia="ru-RU"/>
              </w:rPr>
              <w:t>Нижнеташлин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ский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Шаранского</w:t>
            </w:r>
            <w:proofErr w:type="spellEnd"/>
            <w:r w:rsidRPr="00E67978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района Республики Башкортостан</w:t>
            </w:r>
          </w:p>
          <w:p w:rsidR="00E67978" w:rsidRPr="00E67978" w:rsidRDefault="00E67978" w:rsidP="00E67978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ул. П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be-BY"/>
              </w:rPr>
              <w:t>обеды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,д.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be-BY"/>
              </w:rPr>
              <w:t>20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, с</w:t>
            </w:r>
            <w:proofErr w:type="gram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.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be-BY"/>
              </w:rPr>
              <w:t>Н</w:t>
            </w:r>
            <w:proofErr w:type="gram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be-BY"/>
              </w:rPr>
              <w:t xml:space="preserve">и жние Ташлы 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Шаранского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 xml:space="preserve"> района, Республики Башкортостан</w:t>
            </w:r>
          </w:p>
          <w:p w:rsidR="00E67978" w:rsidRPr="00E67978" w:rsidRDefault="00E67978" w:rsidP="00E679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Тел./факс(347 69) 2-51-49,</w:t>
            </w:r>
          </w:p>
          <w:p w:rsidR="00E67978" w:rsidRPr="00E67978" w:rsidRDefault="00E67978" w:rsidP="00E679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e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-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mail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: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@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.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E67978" w:rsidRPr="00E67978" w:rsidRDefault="00E67978" w:rsidP="00E679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http</w:t>
            </w:r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://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www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.</w:t>
            </w:r>
            <w:proofErr w:type="spellStart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  <w:lang w:val="en-US"/>
              </w:rPr>
              <w:t>ntashly</w:t>
            </w:r>
            <w:proofErr w:type="spellEnd"/>
            <w:r w:rsidRPr="00E67978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>-sovet.ru</w:t>
            </w:r>
          </w:p>
        </w:tc>
      </w:tr>
    </w:tbl>
    <w:p w:rsidR="0083779B" w:rsidRPr="002B128D" w:rsidRDefault="0083779B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E67978"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 w:rsidR="006A7C95" w:rsidRPr="00E67978">
        <w:rPr>
          <w:rFonts w:ascii="Times New Roman" w:eastAsia="Arial Unicode MS" w:hAnsi="Times New Roman"/>
          <w:b/>
          <w:sz w:val="26"/>
          <w:szCs w:val="26"/>
        </w:rPr>
        <w:t xml:space="preserve">              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E67978">
        <w:rPr>
          <w:rFonts w:ascii="Times New Roman" w:eastAsia="Arial Unicode MS" w:hAnsi="Times New Roman"/>
          <w:sz w:val="28"/>
          <w:szCs w:val="28"/>
        </w:rPr>
        <w:t xml:space="preserve"> 24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 декабрь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й.       </w:t>
      </w:r>
      <w:r w:rsidR="00E67978"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E67978">
        <w:rPr>
          <w:rFonts w:ascii="Times New Roman" w:eastAsia="Arial Unicode MS" w:hAnsi="Times New Roman"/>
          <w:sz w:val="28"/>
          <w:szCs w:val="28"/>
        </w:rPr>
        <w:t>53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E67978">
        <w:rPr>
          <w:rFonts w:ascii="Times New Roman" w:eastAsia="Arial Unicode MS" w:hAnsi="Times New Roman"/>
          <w:sz w:val="28"/>
          <w:szCs w:val="28"/>
        </w:rPr>
        <w:t xml:space="preserve"> 24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декабря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Pr="00E67978" w:rsidRDefault="000D58F6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proofErr w:type="spellStart"/>
      <w:r w:rsidR="00E67978">
        <w:rPr>
          <w:rFonts w:ascii="Times New Roman" w:hAnsi="Times New Roman"/>
          <w:b/>
          <w:sz w:val="28"/>
          <w:szCs w:val="28"/>
          <w:lang w:eastAsia="ru-RU"/>
        </w:rPr>
        <w:t>Нижнеташлинский</w:t>
      </w:r>
      <w:proofErr w:type="spellEnd"/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  <w:proofErr w:type="gramEnd"/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E67978">
        <w:rPr>
          <w:rFonts w:ascii="Times New Roman" w:hAnsi="Times New Roman"/>
          <w:sz w:val="28"/>
          <w:szCs w:val="28"/>
          <w:lang w:eastAsia="ru-RU"/>
        </w:rPr>
        <w:t>29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978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hAnsi="Times New Roman"/>
          <w:sz w:val="28"/>
          <w:szCs w:val="28"/>
          <w:lang w:eastAsia="ru-RU"/>
        </w:rPr>
        <w:t>№ 10</w:t>
      </w:r>
      <w:r w:rsidR="00E6797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>«Об утверждении Правил определения требований к закупаемым  Администрацией</w:t>
      </w:r>
      <w:proofErr w:type="gram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>района Шаранский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9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67978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10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 w:rsidR="00E67978">
              <w:rPr>
                <w:rFonts w:ascii="Times New Roman" w:hAnsi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E67978">
              <w:rPr>
                <w:rFonts w:ascii="Times New Roman" w:hAnsi="Times New Roman"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proofErr w:type="spellStart"/>
            <w:r w:rsidR="00E67978">
              <w:rPr>
                <w:rFonts w:ascii="Times New Roman" w:hAnsi="Times New Roman"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E67978">
              <w:rPr>
                <w:rFonts w:ascii="Times New Roman" w:hAnsi="Times New Roman"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proofErr w:type="spellStart"/>
            <w:r w:rsidR="00E67978">
              <w:rPr>
                <w:rFonts w:ascii="Times New Roman" w:hAnsi="Times New Roman"/>
                <w:sz w:val="16"/>
                <w:szCs w:val="16"/>
              </w:rPr>
              <w:t>Нижнеташлинский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proofErr w:type="spellStart"/>
            <w:r w:rsidR="00E67978">
              <w:rPr>
                <w:rFonts w:ascii="Times New Roman" w:hAnsi="Times New Roman"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E427BA" w:rsidP="00E427B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="00E67978">
        <w:rPr>
          <w:sz w:val="28"/>
          <w:szCs w:val="28"/>
        </w:rPr>
        <w:t>Г.С.Гарифуллина</w:t>
      </w:r>
      <w:proofErr w:type="spellEnd"/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85" w:rsidRDefault="007E0785" w:rsidP="008277C7">
      <w:pPr>
        <w:spacing w:after="0" w:line="240" w:lineRule="auto"/>
      </w:pPr>
      <w:r>
        <w:separator/>
      </w:r>
    </w:p>
  </w:endnote>
  <w:endnote w:type="continuationSeparator" w:id="0">
    <w:p w:rsidR="007E0785" w:rsidRDefault="007E0785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85" w:rsidRDefault="007E0785" w:rsidP="008277C7">
      <w:pPr>
        <w:spacing w:after="0" w:line="240" w:lineRule="auto"/>
      </w:pPr>
      <w:r>
        <w:separator/>
      </w:r>
    </w:p>
  </w:footnote>
  <w:footnote w:type="continuationSeparator" w:id="0">
    <w:p w:rsidR="007E0785" w:rsidRDefault="007E0785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3364AD"/>
    <w:rsid w:val="003473D1"/>
    <w:rsid w:val="00376D04"/>
    <w:rsid w:val="003D6247"/>
    <w:rsid w:val="00410864"/>
    <w:rsid w:val="0047780C"/>
    <w:rsid w:val="004C28DC"/>
    <w:rsid w:val="004D5F12"/>
    <w:rsid w:val="004F3AF2"/>
    <w:rsid w:val="00531BE2"/>
    <w:rsid w:val="005A0E7F"/>
    <w:rsid w:val="005F06C5"/>
    <w:rsid w:val="00646C56"/>
    <w:rsid w:val="006A7C95"/>
    <w:rsid w:val="006B05A6"/>
    <w:rsid w:val="00710FC1"/>
    <w:rsid w:val="0076642D"/>
    <w:rsid w:val="00787252"/>
    <w:rsid w:val="007E0785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A77220"/>
    <w:rsid w:val="00A77FC1"/>
    <w:rsid w:val="00AC398E"/>
    <w:rsid w:val="00B331EA"/>
    <w:rsid w:val="00B61A35"/>
    <w:rsid w:val="00BD3A17"/>
    <w:rsid w:val="00C07BC7"/>
    <w:rsid w:val="00C219A9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67978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uiPriority w:val="99"/>
    <w:semiHidden/>
    <w:rsid w:val="00B331E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AFE9603A0C1AB18B82D0180EE70870DF576D7F39174C47B40F2D0BFC5DC67DA44AE2D27C053B2E2460CA9BDF9E43EFC1B082B83AF10530y3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2021-12-24T14:12:00Z</cp:lastPrinted>
  <dcterms:created xsi:type="dcterms:W3CDTF">2021-12-23T09:56:00Z</dcterms:created>
  <dcterms:modified xsi:type="dcterms:W3CDTF">2021-12-24T14:13:00Z</dcterms:modified>
</cp:coreProperties>
</file>