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515298" w:rsidRPr="009911EA" w:rsidTr="00513097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20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Тел.(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34769) 2-51-49, факс (34769) 2-51-49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515298" w:rsidRDefault="00515298" w:rsidP="005130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sz w:val="30"/>
                <w:szCs w:val="20"/>
                <w:lang w:bidi="ar-SA"/>
              </w:rPr>
              <w:drawing>
                <wp:inline distT="0" distB="0" distL="0" distR="0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район, 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Тел.(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34769) 2-5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515298" w:rsidRDefault="00515298" w:rsidP="00513097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 xml:space="preserve"> HYPERLINK "http://ntashly.sharan-sovet.ru" </w:instrText>
            </w:r>
            <w:r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fldChar w:fldCharType="end"/>
            </w:r>
          </w:p>
          <w:p w:rsidR="00515298" w:rsidRDefault="00515298" w:rsidP="0051309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  <w:bookmarkEnd w:id="0"/>
    </w:tbl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515298" w:rsidRPr="0028278F" w:rsidRDefault="00515298" w:rsidP="00515298">
      <w:pPr>
        <w:keepNext/>
        <w:ind w:right="-284"/>
        <w:jc w:val="center"/>
        <w:outlineLvl w:val="8"/>
        <w:rPr>
          <w:rFonts w:ascii="ER Bukinist Bashkir" w:eastAsia="Times New Roman" w:hAnsi="ER Bukinist Bashkir"/>
          <w:b/>
          <w:sz w:val="28"/>
          <w:szCs w:val="28"/>
        </w:rPr>
      </w:pP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ҠАРАР        </w:t>
      </w:r>
      <w:r>
        <w:rPr>
          <w:rFonts w:ascii="ER Bukinist Bashkir" w:eastAsia="Times New Roman" w:hAnsi="ER Bukinist Bashkir"/>
          <w:b/>
          <w:sz w:val="28"/>
          <w:szCs w:val="28"/>
        </w:rPr>
        <w:t xml:space="preserve">                                                </w:t>
      </w: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                         РЕШЕНИЕ</w:t>
      </w: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515298" w:rsidRPr="005A7683" w:rsidRDefault="00515298" w:rsidP="00515298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r w:rsidRPr="005A7683">
        <w:rPr>
          <w:b/>
        </w:rPr>
        <w:t>О внесении изменений и дополнений в Устав</w:t>
      </w:r>
      <w:r>
        <w:rPr>
          <w:b/>
        </w:rPr>
        <w:t xml:space="preserve"> </w:t>
      </w:r>
      <w:r w:rsidRPr="005A7683">
        <w:rPr>
          <w:b/>
        </w:rPr>
        <w:t xml:space="preserve">сельского поселения </w:t>
      </w:r>
      <w:proofErr w:type="spellStart"/>
      <w:proofErr w:type="gramStart"/>
      <w:r>
        <w:rPr>
          <w:b/>
        </w:rPr>
        <w:t>Нижнеташлинский</w:t>
      </w:r>
      <w:proofErr w:type="spellEnd"/>
      <w:r w:rsidRPr="005A7683">
        <w:rPr>
          <w:b/>
        </w:rPr>
        <w:t xml:space="preserve">  сельсовет</w:t>
      </w:r>
      <w:proofErr w:type="gramEnd"/>
      <w:r w:rsidRPr="005A7683">
        <w:rPr>
          <w:b/>
        </w:rPr>
        <w:t xml:space="preserve"> муниципального района </w:t>
      </w:r>
      <w:proofErr w:type="spellStart"/>
      <w:r w:rsidRPr="005A7683">
        <w:rPr>
          <w:b/>
        </w:rPr>
        <w:t>Шаранский</w:t>
      </w:r>
      <w:proofErr w:type="spellEnd"/>
      <w:r w:rsidRPr="005A7683">
        <w:rPr>
          <w:b/>
        </w:rPr>
        <w:t xml:space="preserve"> район</w:t>
      </w:r>
      <w:r>
        <w:rPr>
          <w:b/>
        </w:rPr>
        <w:t xml:space="preserve"> </w:t>
      </w:r>
      <w:r w:rsidRPr="005A7683">
        <w:rPr>
          <w:b/>
        </w:rPr>
        <w:t>Республики Башкортостан</w:t>
      </w:r>
    </w:p>
    <w:p w:rsidR="00515298" w:rsidRDefault="00515298" w:rsidP="00515298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515298" w:rsidRDefault="00515298" w:rsidP="00515298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proofErr w:type="spellStart"/>
      <w:proofErr w:type="gramStart"/>
      <w:r>
        <w:t>Нижнеташлинский</w:t>
      </w:r>
      <w:proofErr w:type="spellEnd"/>
      <w:r w:rsidRPr="005A7683">
        <w:t xml:space="preserve">  сельсовет</w:t>
      </w:r>
      <w:proofErr w:type="gramEnd"/>
      <w:r w:rsidRPr="005A7683">
        <w:t xml:space="preserve"> муниципального района </w:t>
      </w:r>
      <w:proofErr w:type="spellStart"/>
      <w:r w:rsidRPr="005A7683">
        <w:t>Шаранский</w:t>
      </w:r>
      <w:proofErr w:type="spellEnd"/>
      <w:r w:rsidRPr="005A7683">
        <w:t xml:space="preserve"> район Республики</w:t>
      </w:r>
      <w:r>
        <w:t xml:space="preserve"> </w:t>
      </w:r>
      <w:r w:rsidRPr="005A7683">
        <w:t>Башкортостан решил:</w:t>
      </w:r>
    </w:p>
    <w:p w:rsidR="00515298" w:rsidRPr="005A7683" w:rsidRDefault="00515298" w:rsidP="00515298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515298" w:rsidRDefault="00515298" w:rsidP="00515298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Внести в Устав </w:t>
      </w:r>
      <w:proofErr w:type="spellStart"/>
      <w:proofErr w:type="gramStart"/>
      <w:r>
        <w:t>Нижнеташлинский</w:t>
      </w:r>
      <w:proofErr w:type="spellEnd"/>
      <w:r w:rsidRPr="005A7683">
        <w:t xml:space="preserve">  сельсовет</w:t>
      </w:r>
      <w:proofErr w:type="gramEnd"/>
      <w:r w:rsidRPr="005A7683">
        <w:t xml:space="preserve"> муниципального района </w:t>
      </w:r>
      <w:proofErr w:type="spellStart"/>
      <w:r w:rsidRPr="005A7683">
        <w:t>Шаранский</w:t>
      </w:r>
      <w:proofErr w:type="spellEnd"/>
      <w:r w:rsidRPr="005A7683">
        <w:t xml:space="preserve"> район</w:t>
      </w:r>
      <w:r>
        <w:t xml:space="preserve"> Республики Башкортостан следующие изменения и дополнения: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515298" w:rsidRDefault="00515298" w:rsidP="00515298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статьи,» исключить.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515298" w:rsidRDefault="00515298" w:rsidP="00515298">
      <w:pPr>
        <w:pStyle w:val="2"/>
        <w:shd w:val="clear" w:color="auto" w:fill="auto"/>
        <w:spacing w:after="8" w:line="240" w:lineRule="auto"/>
        <w:ind w:firstLine="720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</w:t>
      </w:r>
      <w:r>
        <w:lastRenderedPageBreak/>
        <w:t>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515298" w:rsidRDefault="00515298" w:rsidP="00515298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515298" w:rsidRDefault="00515298" w:rsidP="00515298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15298" w:rsidRDefault="00515298" w:rsidP="0051529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515298" w:rsidRDefault="00515298" w:rsidP="0051529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5298" w:rsidRDefault="00515298" w:rsidP="0051529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15298" w:rsidRDefault="00515298" w:rsidP="0051529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lastRenderedPageBreak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5298" w:rsidRDefault="00515298" w:rsidP="0051529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полномочий.».</w:t>
      </w:r>
    </w:p>
    <w:p w:rsidR="00515298" w:rsidRDefault="00515298" w:rsidP="00515298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515298" w:rsidRDefault="00515298" w:rsidP="00515298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515298" w:rsidRDefault="00515298" w:rsidP="00515298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515298" w:rsidRDefault="00515298" w:rsidP="00515298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>
        <w:rPr>
          <w:lang w:bidi="en-US"/>
        </w:rPr>
        <w:t>(</w:t>
      </w:r>
      <w:r w:rsidRPr="003B6C6F">
        <w:rPr>
          <w:lang w:bidi="en-US"/>
        </w:rPr>
        <w:t>http://pravo.miniust.ru/</w:t>
      </w:r>
      <w:r>
        <w:rPr>
          <w:lang w:bidi="en-US"/>
        </w:rPr>
        <w:t>,</w:t>
      </w:r>
      <w:r w:rsidRPr="003B6C6F">
        <w:t>http:</w:t>
      </w:r>
      <w:r>
        <w:t>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515298" w:rsidRDefault="00515298" w:rsidP="0051529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15298" w:rsidRDefault="00515298" w:rsidP="0051529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 сельского поселения </w:t>
      </w:r>
      <w:proofErr w:type="spellStart"/>
      <w:proofErr w:type="gramStart"/>
      <w:r>
        <w:t>Нижнеташлинский</w:t>
      </w:r>
      <w:proofErr w:type="spellEnd"/>
      <w:r w:rsidRPr="005A7683">
        <w:t xml:space="preserve">  сельсовет</w:t>
      </w:r>
      <w:proofErr w:type="gramEnd"/>
      <w:r w:rsidRPr="005A7683">
        <w:t xml:space="preserve"> муниципального района </w:t>
      </w:r>
      <w:proofErr w:type="spellStart"/>
      <w:r w:rsidRPr="005A7683">
        <w:t>Шаранский</w:t>
      </w:r>
      <w:proofErr w:type="spellEnd"/>
      <w:r w:rsidRPr="005A7683">
        <w:t xml:space="preserve"> район</w:t>
      </w:r>
      <w:r>
        <w:t xml:space="preserve"> Республики </w:t>
      </w:r>
      <w:proofErr w:type="spellStart"/>
      <w:r>
        <w:t>Башкортостанв</w:t>
      </w:r>
      <w:proofErr w:type="spellEnd"/>
      <w:r>
        <w:t xml:space="preserve">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515298" w:rsidRDefault="00515298" w:rsidP="0051529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15298" w:rsidRDefault="00515298" w:rsidP="00515298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15298" w:rsidRDefault="00515298" w:rsidP="00515298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15298" w:rsidRDefault="00515298" w:rsidP="00515298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Глава сельского поселения</w:t>
      </w:r>
    </w:p>
    <w:p w:rsidR="00515298" w:rsidRDefault="00515298" w:rsidP="00515298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proofErr w:type="gramStart"/>
      <w:r>
        <w:t>Нижнеташлинский</w:t>
      </w:r>
      <w:proofErr w:type="spellEnd"/>
      <w:r w:rsidRPr="005A7683">
        <w:t xml:space="preserve">  сельсовет</w:t>
      </w:r>
      <w:proofErr w:type="gramEnd"/>
      <w:r w:rsidRPr="005A7683">
        <w:t xml:space="preserve"> </w:t>
      </w:r>
    </w:p>
    <w:p w:rsidR="00515298" w:rsidRDefault="00515298" w:rsidP="00515298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515298" w:rsidRDefault="00515298" w:rsidP="00515298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 w:rsidRPr="005A7683">
        <w:t>Шаранский</w:t>
      </w:r>
      <w:proofErr w:type="spellEnd"/>
      <w:r w:rsidRPr="005A7683">
        <w:t xml:space="preserve"> район</w:t>
      </w: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  <w:r>
        <w:t xml:space="preserve">Республики Башкортостан                                                             </w:t>
      </w:r>
      <w:proofErr w:type="spellStart"/>
      <w:r>
        <w:t>Г.С.Гарифуллина</w:t>
      </w:r>
      <w:proofErr w:type="spellEnd"/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  <w:proofErr w:type="spellStart"/>
      <w:r>
        <w:t>с.Нижние</w:t>
      </w:r>
      <w:proofErr w:type="spellEnd"/>
      <w:r>
        <w:t xml:space="preserve"> Ташлы</w:t>
      </w: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15298" w:rsidRDefault="00515298" w:rsidP="00515298">
      <w:pPr>
        <w:pStyle w:val="2"/>
        <w:shd w:val="clear" w:color="auto" w:fill="auto"/>
        <w:spacing w:after="0" w:line="322" w:lineRule="exact"/>
        <w:jc w:val="both"/>
      </w:pPr>
      <w:r>
        <w:t>№17/120</w:t>
      </w:r>
    </w:p>
    <w:p w:rsidR="00C26922" w:rsidRDefault="00C26922"/>
    <w:sectPr w:rsidR="00C26922" w:rsidSect="00515298">
      <w:headerReference w:type="default" r:id="rId7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74" w:rsidRDefault="005152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462915</wp:posOffset>
              </wp:positionV>
              <wp:extent cx="70485" cy="160655"/>
              <wp:effectExtent l="0" t="0" r="6350" b="146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774" w:rsidRDefault="0051529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5298">
                            <w:rPr>
                              <w:rStyle w:val="a6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4.9pt;margin-top:36.4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mdwQ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" filled="f" stroked="f">
              <v:textbox style="mso-fit-shape-to-text:t" inset="0,0,0,0">
                <w:txbxContent>
                  <w:p w:rsidR="009F4774" w:rsidRDefault="0051529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5298">
                      <w:rPr>
                        <w:rStyle w:val="a6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98"/>
    <w:rsid w:val="00515298"/>
    <w:rsid w:val="00C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454A9-EA7B-472E-A8F7-179417E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52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29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152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51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51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15298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152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9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2020-11-02T12:00:00Z</cp:lastPrinted>
  <dcterms:created xsi:type="dcterms:W3CDTF">2020-11-02T11:57:00Z</dcterms:created>
  <dcterms:modified xsi:type="dcterms:W3CDTF">2020-11-02T12:03:00Z</dcterms:modified>
</cp:coreProperties>
</file>